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2C" w:rsidRPr="001C6AF9" w:rsidRDefault="0056232C">
      <w:r w:rsidRPr="001C6AF9">
        <w:rPr>
          <w:b/>
        </w:rPr>
        <w:t>Background:</w:t>
      </w:r>
      <w:r w:rsidRPr="001C6AF9">
        <w:t xml:space="preserve">  </w:t>
      </w:r>
      <w:r w:rsidR="001C1175" w:rsidRPr="001C6AF9">
        <w:t>All U</w:t>
      </w:r>
      <w:r w:rsidR="00303C33" w:rsidRPr="001C6AF9">
        <w:t>.S.</w:t>
      </w:r>
      <w:r w:rsidR="001C1175" w:rsidRPr="001C6AF9">
        <w:t xml:space="preserve"> Army Medical Research and Development Command (USAMRDC) supported</w:t>
      </w:r>
      <w:r w:rsidR="00B82C0B" w:rsidRPr="001C6AF9">
        <w:t>/funded</w:t>
      </w:r>
      <w:r w:rsidR="001C1175" w:rsidRPr="001C6AF9">
        <w:t xml:space="preserve"> research involving human subjects, human data, </w:t>
      </w:r>
      <w:r w:rsidR="002A344D" w:rsidRPr="001C6AF9">
        <w:t xml:space="preserve">or </w:t>
      </w:r>
      <w:r w:rsidR="001C1175" w:rsidRPr="001C6AF9">
        <w:t>human specimens must be reviewed for compliance with Federal, Department of Defense (</w:t>
      </w:r>
      <w:r w:rsidR="007A764A">
        <w:t>DoD</w:t>
      </w:r>
      <w:r w:rsidR="001C1175" w:rsidRPr="001C6AF9">
        <w:t xml:space="preserve">), and Army human subjects protection requirements and receive approval by the </w:t>
      </w:r>
      <w:r w:rsidR="007A764A">
        <w:t>Office of Human and Animal Research Oversight (OHARO</w:t>
      </w:r>
      <w:r w:rsidR="001C1175" w:rsidRPr="001C6AF9">
        <w:t xml:space="preserve">) </w:t>
      </w:r>
      <w:r w:rsidR="007A764A">
        <w:t>Office of Human Research Oversight (OHRO</w:t>
      </w:r>
      <w:r w:rsidR="001C1175" w:rsidRPr="001C6AF9">
        <w:t xml:space="preserve">) prior to implementation; this requirement derives from </w:t>
      </w:r>
      <w:r w:rsidR="007A764A">
        <w:t>DoDI</w:t>
      </w:r>
      <w:r w:rsidR="001C1175" w:rsidRPr="001C6AF9">
        <w:t xml:space="preserve"> 3216.02</w:t>
      </w:r>
      <w:r w:rsidR="002A344D" w:rsidRPr="001C6AF9">
        <w:t xml:space="preserve"> and the Defense Federal Acquisition Regulation Supplement</w:t>
      </w:r>
      <w:r w:rsidR="007A764A">
        <w:t xml:space="preserve"> requirement for Human Research Protection Official (HRPO) review of DoD-supported human subjects research</w:t>
      </w:r>
      <w:r w:rsidR="001C1175" w:rsidRPr="001C6AF9">
        <w:t xml:space="preserve">.  </w:t>
      </w:r>
      <w:r w:rsidR="00F1002D" w:rsidRPr="001C6AF9">
        <w:t>On 15 April 2020, t</w:t>
      </w:r>
      <w:r w:rsidR="001C1175" w:rsidRPr="001C6AF9">
        <w:t xml:space="preserve">he </w:t>
      </w:r>
      <w:r w:rsidR="007A764A">
        <w:t>DoD</w:t>
      </w:r>
      <w:r w:rsidR="001C1175" w:rsidRPr="001C6AF9">
        <w:t xml:space="preserve"> issued an update to </w:t>
      </w:r>
      <w:r w:rsidR="007A764A">
        <w:t>DoDI</w:t>
      </w:r>
      <w:r w:rsidR="00F1002D" w:rsidRPr="001C6AF9">
        <w:t> </w:t>
      </w:r>
      <w:r w:rsidR="001C1175" w:rsidRPr="001C6AF9">
        <w:t>3216.02.</w:t>
      </w:r>
    </w:p>
    <w:p w:rsidR="001C1175" w:rsidRPr="001C6AF9" w:rsidRDefault="001C1175"/>
    <w:p w:rsidR="001C1175" w:rsidRPr="001C6AF9" w:rsidRDefault="001C1175">
      <w:r w:rsidRPr="001C6AF9">
        <w:rPr>
          <w:b/>
        </w:rPr>
        <w:t>Purpose:</w:t>
      </w:r>
      <w:r w:rsidRPr="001C6AF9">
        <w:t xml:space="preserve">  This document </w:t>
      </w:r>
      <w:r w:rsidR="005804BC" w:rsidRPr="001C6AF9">
        <w:t>compares</w:t>
      </w:r>
      <w:r w:rsidRPr="001C6AF9">
        <w:t xml:space="preserve"> the</w:t>
      </w:r>
      <w:r w:rsidR="002A344D" w:rsidRPr="001C6AF9">
        <w:t xml:space="preserve"> </w:t>
      </w:r>
      <w:r w:rsidR="001C6AF9" w:rsidRPr="001C6AF9">
        <w:t xml:space="preserve">previous and </w:t>
      </w:r>
      <w:r w:rsidR="002A344D" w:rsidRPr="001C6AF9">
        <w:t xml:space="preserve">new </w:t>
      </w:r>
      <w:r w:rsidR="007A764A">
        <w:t>DoDI</w:t>
      </w:r>
      <w:r w:rsidR="002A344D" w:rsidRPr="001C6AF9">
        <w:t xml:space="preserve"> 3216.02’s</w:t>
      </w:r>
      <w:r w:rsidRPr="001C6AF9">
        <w:t xml:space="preserve"> requirements for </w:t>
      </w:r>
      <w:r w:rsidR="002A344D" w:rsidRPr="001C6AF9">
        <w:t>non-</w:t>
      </w:r>
      <w:r w:rsidR="007A764A">
        <w:t>DoD</w:t>
      </w:r>
      <w:r w:rsidR="002A344D" w:rsidRPr="001C6AF9">
        <w:t xml:space="preserve"> </w:t>
      </w:r>
      <w:r w:rsidRPr="001C6AF9">
        <w:t xml:space="preserve">institutions receiving </w:t>
      </w:r>
      <w:r w:rsidR="007A764A">
        <w:t>DoD</w:t>
      </w:r>
      <w:r w:rsidR="00F1002D" w:rsidRPr="001C6AF9">
        <w:t> </w:t>
      </w:r>
      <w:r w:rsidR="002A344D" w:rsidRPr="001C6AF9">
        <w:t>support for activities that include (or may include) human subjects researc</w:t>
      </w:r>
      <w:r w:rsidR="00CA4957">
        <w:t>h</w:t>
      </w:r>
      <w:r w:rsidR="003F15BA" w:rsidRPr="001C6AF9">
        <w:t>,</w:t>
      </w:r>
      <w:r w:rsidR="009A2703" w:rsidRPr="001C6AF9">
        <w:t xml:space="preserve"> and provides information on how the USAMRDC </w:t>
      </w:r>
      <w:r w:rsidR="007A764A">
        <w:t>OHARO</w:t>
      </w:r>
      <w:r w:rsidR="009A2703" w:rsidRPr="001C6AF9">
        <w:t xml:space="preserve"> </w:t>
      </w:r>
      <w:r w:rsidR="007A764A">
        <w:t>OHRO</w:t>
      </w:r>
      <w:r w:rsidR="009A2703" w:rsidRPr="001C6AF9">
        <w:t xml:space="preserve"> implements the </w:t>
      </w:r>
      <w:r w:rsidR="007A764A">
        <w:t>DoDI</w:t>
      </w:r>
      <w:r w:rsidR="003C3888" w:rsidRPr="001C6AF9">
        <w:t xml:space="preserve"> requirements</w:t>
      </w:r>
      <w:r w:rsidR="002A344D" w:rsidRPr="001C6AF9">
        <w:t>.</w:t>
      </w:r>
    </w:p>
    <w:p w:rsidR="00653519" w:rsidRPr="001C6AF9" w:rsidRDefault="00653519" w:rsidP="00517E85"/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4495"/>
        <w:gridCol w:w="4320"/>
        <w:gridCol w:w="5310"/>
      </w:tblGrid>
      <w:tr w:rsidR="001C6AF9" w:rsidRPr="001C6AF9" w:rsidTr="00517E85">
        <w:trPr>
          <w:tblHeader/>
        </w:trPr>
        <w:tc>
          <w:tcPr>
            <w:tcW w:w="14125" w:type="dxa"/>
            <w:gridSpan w:val="3"/>
            <w:shd w:val="clear" w:color="auto" w:fill="E2EFD9" w:themeFill="accent6" w:themeFillTint="33"/>
            <w:vAlign w:val="center"/>
          </w:tcPr>
          <w:p w:rsidR="0044550C" w:rsidRPr="001C6AF9" w:rsidRDefault="007A764A" w:rsidP="009254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DoDI</w:t>
            </w:r>
            <w:r w:rsidR="0044550C" w:rsidRPr="001C6AF9">
              <w:rPr>
                <w:b/>
                <w:i/>
              </w:rPr>
              <w:t xml:space="preserve"> 3216.02 Submission Requirements</w:t>
            </w:r>
            <w:r w:rsidR="002B33FA">
              <w:rPr>
                <w:b/>
                <w:i/>
              </w:rPr>
              <w:t xml:space="preserve">: </w:t>
            </w:r>
            <w:r w:rsidR="0044550C" w:rsidRPr="001C6AF9">
              <w:rPr>
                <w:b/>
                <w:i/>
              </w:rPr>
              <w:t xml:space="preserve"> </w:t>
            </w:r>
            <w:r w:rsidR="0044550C" w:rsidRPr="00D23528">
              <w:rPr>
                <w:b/>
                <w:i/>
                <w:u w:val="single"/>
              </w:rPr>
              <w:t>Prior</w:t>
            </w:r>
            <w:r w:rsidR="0044550C" w:rsidRPr="001C6AF9">
              <w:rPr>
                <w:b/>
                <w:i/>
              </w:rPr>
              <w:t xml:space="preserve"> to </w:t>
            </w:r>
            <w:r>
              <w:rPr>
                <w:b/>
                <w:i/>
              </w:rPr>
              <w:t>OHRO</w:t>
            </w:r>
            <w:r w:rsidR="009254FE">
              <w:rPr>
                <w:b/>
                <w:i/>
              </w:rPr>
              <w:t xml:space="preserve"> </w:t>
            </w:r>
            <w:r w:rsidR="002B33FA">
              <w:rPr>
                <w:b/>
                <w:i/>
              </w:rPr>
              <w:t xml:space="preserve">Initial </w:t>
            </w:r>
            <w:r w:rsidR="009254FE">
              <w:rPr>
                <w:b/>
                <w:i/>
              </w:rPr>
              <w:t>Approval</w:t>
            </w:r>
          </w:p>
        </w:tc>
      </w:tr>
      <w:tr w:rsidR="001C6AF9" w:rsidRPr="001C6AF9" w:rsidTr="00517E85">
        <w:trPr>
          <w:tblHeader/>
        </w:trPr>
        <w:tc>
          <w:tcPr>
            <w:tcW w:w="8815" w:type="dxa"/>
            <w:gridSpan w:val="2"/>
            <w:shd w:val="clear" w:color="auto" w:fill="A8D08D" w:themeFill="accent6" w:themeFillTint="99"/>
            <w:vAlign w:val="center"/>
          </w:tcPr>
          <w:p w:rsidR="00140468" w:rsidRPr="002B33FA" w:rsidRDefault="00140468" w:rsidP="002B33FA">
            <w:pPr>
              <w:jc w:val="center"/>
              <w:rPr>
                <w:b/>
              </w:rPr>
            </w:pPr>
            <w:r w:rsidRPr="002B33FA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Non-exempt </w:t>
            </w:r>
            <w:r w:rsidR="00CA4957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human subjects research</w:t>
            </w:r>
          </w:p>
        </w:tc>
        <w:tc>
          <w:tcPr>
            <w:tcW w:w="5310" w:type="dxa"/>
            <w:vMerge w:val="restart"/>
            <w:shd w:val="clear" w:color="auto" w:fill="D9D9D9" w:themeFill="background1" w:themeFillShade="D9"/>
            <w:vAlign w:val="center"/>
          </w:tcPr>
          <w:p w:rsidR="00140468" w:rsidRPr="001C6AF9" w:rsidRDefault="00E9386E" w:rsidP="00467736">
            <w:pPr>
              <w:jc w:val="center"/>
              <w:rPr>
                <w:b/>
              </w:rPr>
            </w:pPr>
            <w:r>
              <w:rPr>
                <w:b/>
              </w:rPr>
              <w:t xml:space="preserve">USAMRDC </w:t>
            </w:r>
            <w:r w:rsidR="007A764A">
              <w:rPr>
                <w:b/>
              </w:rPr>
              <w:t>OHARO</w:t>
            </w:r>
            <w:r w:rsidR="00CA4957">
              <w:rPr>
                <w:b/>
              </w:rPr>
              <w:t xml:space="preserve"> </w:t>
            </w:r>
            <w:r w:rsidR="007A764A">
              <w:rPr>
                <w:b/>
              </w:rPr>
              <w:t>OHRO</w:t>
            </w:r>
            <w:r>
              <w:rPr>
                <w:b/>
              </w:rPr>
              <w:t xml:space="preserve"> </w:t>
            </w:r>
            <w:r w:rsidR="00140468" w:rsidRPr="001C6AF9">
              <w:rPr>
                <w:b/>
              </w:rPr>
              <w:t>Comments/Clarifications</w:t>
            </w:r>
          </w:p>
        </w:tc>
      </w:tr>
      <w:tr w:rsidR="001C6AF9" w:rsidRPr="001C6AF9" w:rsidTr="00517E85">
        <w:trPr>
          <w:tblHeader/>
        </w:trPr>
        <w:tc>
          <w:tcPr>
            <w:tcW w:w="4495" w:type="dxa"/>
            <w:shd w:val="clear" w:color="auto" w:fill="D9D9D9" w:themeFill="background1" w:themeFillShade="D9"/>
            <w:vAlign w:val="center"/>
          </w:tcPr>
          <w:p w:rsidR="00140468" w:rsidRPr="001C6AF9" w:rsidRDefault="00140468" w:rsidP="00A57F36">
            <w:pPr>
              <w:jc w:val="center"/>
              <w:rPr>
                <w:b/>
              </w:rPr>
            </w:pPr>
            <w:r w:rsidRPr="00C5089B">
              <w:rPr>
                <w:b/>
                <w:u w:val="single"/>
              </w:rPr>
              <w:t>Previous</w:t>
            </w:r>
            <w:r w:rsidRPr="001C6AF9">
              <w:rPr>
                <w:b/>
              </w:rPr>
              <w:t xml:space="preserve"> </w:t>
            </w:r>
            <w:r w:rsidR="007A764A">
              <w:rPr>
                <w:b/>
              </w:rPr>
              <w:t>DoDI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C5089B" w:rsidRDefault="00140468" w:rsidP="00C5089B">
            <w:pPr>
              <w:jc w:val="center"/>
            </w:pPr>
            <w:r w:rsidRPr="00C5089B">
              <w:rPr>
                <w:b/>
                <w:u w:val="single"/>
              </w:rPr>
              <w:t>Current</w:t>
            </w:r>
            <w:r w:rsidRPr="001C6AF9">
              <w:rPr>
                <w:b/>
              </w:rPr>
              <w:t xml:space="preserve"> </w:t>
            </w:r>
            <w:r w:rsidR="007A764A">
              <w:rPr>
                <w:b/>
              </w:rPr>
              <w:t>DoDI</w:t>
            </w:r>
          </w:p>
          <w:p w:rsidR="00CA4957" w:rsidRPr="00E93F97" w:rsidRDefault="00C5089B" w:rsidP="00551C86">
            <w:pPr>
              <w:rPr>
                <w:b/>
                <w:i/>
              </w:rPr>
            </w:pPr>
            <w:r w:rsidRPr="00E93F97">
              <w:rPr>
                <w:b/>
                <w:i/>
              </w:rPr>
              <w:t xml:space="preserve">For </w:t>
            </w:r>
            <w:r w:rsidR="007A764A">
              <w:rPr>
                <w:b/>
                <w:i/>
              </w:rPr>
              <w:t>DoD</w:t>
            </w:r>
            <w:r w:rsidRPr="00E93F97">
              <w:rPr>
                <w:b/>
                <w:i/>
              </w:rPr>
              <w:t xml:space="preserve">-supported, non-exempt </w:t>
            </w:r>
            <w:r w:rsidR="00CA4957">
              <w:rPr>
                <w:b/>
                <w:i/>
              </w:rPr>
              <w:t>human subjects research</w:t>
            </w:r>
            <w:r w:rsidRPr="00E93F97">
              <w:rPr>
                <w:b/>
                <w:i/>
              </w:rPr>
              <w:t xml:space="preserve">, the awardee institution must </w:t>
            </w:r>
            <w:r w:rsidRPr="00CA4957">
              <w:rPr>
                <w:b/>
                <w:i/>
                <w:u w:val="single"/>
              </w:rPr>
              <w:t xml:space="preserve">submit to the </w:t>
            </w:r>
            <w:r w:rsidR="007A764A">
              <w:rPr>
                <w:b/>
                <w:i/>
                <w:u w:val="single"/>
              </w:rPr>
              <w:t>OHRO</w:t>
            </w:r>
            <w:r w:rsidRPr="00CA4957">
              <w:rPr>
                <w:b/>
                <w:i/>
                <w:u w:val="single"/>
              </w:rPr>
              <w:t>:</w:t>
            </w:r>
          </w:p>
        </w:tc>
        <w:tc>
          <w:tcPr>
            <w:tcW w:w="5310" w:type="dxa"/>
            <w:vMerge/>
            <w:shd w:val="clear" w:color="auto" w:fill="D9D9D9" w:themeFill="background1" w:themeFillShade="D9"/>
            <w:vAlign w:val="center"/>
          </w:tcPr>
          <w:p w:rsidR="00140468" w:rsidRPr="001C6AF9" w:rsidRDefault="00140468" w:rsidP="0044550C">
            <w:pPr>
              <w:rPr>
                <w:b/>
              </w:rPr>
            </w:pPr>
          </w:p>
        </w:tc>
      </w:tr>
      <w:tr w:rsidR="00884B1C" w:rsidRPr="001C6AF9" w:rsidTr="00517E85">
        <w:trPr>
          <w:trHeight w:val="1632"/>
        </w:trPr>
        <w:tc>
          <w:tcPr>
            <w:tcW w:w="4495" w:type="dxa"/>
            <w:shd w:val="clear" w:color="auto" w:fill="auto"/>
          </w:tcPr>
          <w:p w:rsidR="00884B1C" w:rsidRPr="001C6AF9" w:rsidRDefault="00A0063F" w:rsidP="007A764A">
            <w:pPr>
              <w:autoSpaceDE w:val="0"/>
              <w:autoSpaceDN w:val="0"/>
              <w:adjustRightInd w:val="0"/>
            </w:pPr>
            <w:r>
              <w:t>IRB review documentation:</w:t>
            </w:r>
            <w:r w:rsidR="00CA4957">
              <w:t xml:space="preserve">  </w:t>
            </w:r>
            <w:r w:rsidR="005332B3" w:rsidRPr="001C6AF9">
              <w:t xml:space="preserve">the </w:t>
            </w:r>
            <w:r w:rsidR="007A764A">
              <w:t>HRPO</w:t>
            </w:r>
            <w:r w:rsidR="005332B3" w:rsidRPr="001C6AF9">
              <w:t xml:space="preserve"> must</w:t>
            </w:r>
            <w:r w:rsidR="005332B3">
              <w:t>:</w:t>
            </w:r>
            <w:r w:rsidR="00A57F36">
              <w:t xml:space="preserve">  </w:t>
            </w:r>
            <w:r w:rsidR="005332B3" w:rsidRPr="001C6AF9">
              <w:t xml:space="preserve">Review the research protocol and accept the IRB determination of level of risk and approval of the study for compliance with </w:t>
            </w:r>
            <w:r w:rsidR="00A57F36">
              <w:t>[</w:t>
            </w:r>
            <w:r w:rsidR="005332B3" w:rsidRPr="001C6AF9">
              <w:t xml:space="preserve">the </w:t>
            </w:r>
            <w:r w:rsidR="007A764A">
              <w:t>DoDI</w:t>
            </w:r>
            <w:r w:rsidR="00A57F36">
              <w:t>]</w:t>
            </w:r>
            <w:r w:rsidR="00E93F97">
              <w:t>.</w:t>
            </w:r>
          </w:p>
        </w:tc>
        <w:tc>
          <w:tcPr>
            <w:tcW w:w="4320" w:type="dxa"/>
            <w:shd w:val="clear" w:color="auto" w:fill="auto"/>
          </w:tcPr>
          <w:p w:rsidR="00A57F36" w:rsidRDefault="00A0063F" w:rsidP="002B33FA">
            <w:pPr>
              <w:autoSpaceDE w:val="0"/>
              <w:autoSpaceDN w:val="0"/>
              <w:adjustRightInd w:val="0"/>
            </w:pPr>
            <w:r>
              <w:t xml:space="preserve">IRB review documentation: </w:t>
            </w:r>
            <w:r w:rsidR="00C5089B" w:rsidRPr="001C6AF9">
              <w:t xml:space="preserve">Documentation that the </w:t>
            </w:r>
            <w:r w:rsidR="007A764A">
              <w:t>DoD</w:t>
            </w:r>
            <w:r w:rsidR="00C5089B" w:rsidRPr="001C6AF9">
              <w:t xml:space="preserve">-supported </w:t>
            </w:r>
            <w:r w:rsidR="00CA4957">
              <w:t>human subjects research</w:t>
            </w:r>
            <w:r w:rsidR="00C5089B" w:rsidRPr="001C6AF9">
              <w:t xml:space="preserve"> has been </w:t>
            </w:r>
            <w:r w:rsidR="00C5089B" w:rsidRPr="00E93F97">
              <w:t>reviewed and approved by an IRB . . .</w:t>
            </w:r>
            <w:r w:rsidR="00A57F36" w:rsidRPr="00E93F97">
              <w:t xml:space="preserve"> </w:t>
            </w:r>
          </w:p>
          <w:p w:rsidR="00A57F36" w:rsidRDefault="00A57F36" w:rsidP="002B33FA">
            <w:pPr>
              <w:autoSpaceDE w:val="0"/>
              <w:autoSpaceDN w:val="0"/>
              <w:adjustRightInd w:val="0"/>
            </w:pPr>
          </w:p>
          <w:p w:rsidR="00884B1C" w:rsidRPr="001C6AF9" w:rsidRDefault="00A57F36" w:rsidP="002B33FA">
            <w:pPr>
              <w:autoSpaceDE w:val="0"/>
              <w:autoSpaceDN w:val="0"/>
              <w:adjustRightInd w:val="0"/>
            </w:pPr>
            <w:r w:rsidRPr="001C6AF9">
              <w:t>IRB-approved protocol documents.</w:t>
            </w:r>
          </w:p>
        </w:tc>
        <w:tc>
          <w:tcPr>
            <w:tcW w:w="5310" w:type="dxa"/>
            <w:shd w:val="clear" w:color="auto" w:fill="auto"/>
          </w:tcPr>
          <w:p w:rsidR="00884B1C" w:rsidRDefault="00884B1C">
            <w:r w:rsidRPr="001C6AF9">
              <w:t>Single IRB review required for multi-site, collaborative research in accordance with section .114 of the Common Rule for research conducted within the U.S.</w:t>
            </w:r>
          </w:p>
          <w:p w:rsidR="00313C4A" w:rsidRDefault="00313C4A"/>
          <w:p w:rsidR="00313C4A" w:rsidRPr="001C6AF9" w:rsidRDefault="00313C4A">
            <w:r w:rsidRPr="001C6AF9">
              <w:t xml:space="preserve">See guidance and submission forms at the </w:t>
            </w:r>
            <w:r w:rsidR="007A764A">
              <w:t>OHARO</w:t>
            </w:r>
            <w:r w:rsidRPr="001C6AF9">
              <w:t xml:space="preserve"> </w:t>
            </w:r>
            <w:r w:rsidR="007A764A">
              <w:t>OHRO</w:t>
            </w:r>
            <w:r w:rsidRPr="001C6AF9">
              <w:t xml:space="preserve"> website:  </w:t>
            </w:r>
            <w:r w:rsidR="007A764A" w:rsidRPr="007A764A">
              <w:t>https://mrdc.health.mil/index.cfm/collaborate/research_protections/hrpo</w:t>
            </w:r>
          </w:p>
        </w:tc>
      </w:tr>
      <w:tr w:rsidR="001C6AF9" w:rsidRPr="001C6AF9" w:rsidTr="00517E85">
        <w:trPr>
          <w:trHeight w:val="1632"/>
        </w:trPr>
        <w:tc>
          <w:tcPr>
            <w:tcW w:w="4495" w:type="dxa"/>
            <w:shd w:val="clear" w:color="auto" w:fill="auto"/>
          </w:tcPr>
          <w:p w:rsidR="003727B7" w:rsidRPr="001C6AF9" w:rsidRDefault="005F1E25" w:rsidP="0018366A">
            <w:pPr>
              <w:autoSpaceDE w:val="0"/>
              <w:autoSpaceDN w:val="0"/>
              <w:adjustRightInd w:val="0"/>
            </w:pPr>
            <w:r>
              <w:lastRenderedPageBreak/>
              <w:t xml:space="preserve">Scientific merit:  </w:t>
            </w:r>
            <w:r w:rsidR="00140468" w:rsidRPr="001C6AF9">
              <w:t xml:space="preserve">When conducting non-exempt </w:t>
            </w:r>
            <w:r w:rsidR="00CA4957">
              <w:t>human subjects research</w:t>
            </w:r>
            <w:r w:rsidR="00140468" w:rsidRPr="001C6AF9">
              <w:t xml:space="preserve">, the IRB review must consider the </w:t>
            </w:r>
            <w:r w:rsidR="00140468" w:rsidRPr="00E93F97">
              <w:t>s</w:t>
            </w:r>
            <w:r w:rsidR="0018366A" w:rsidRPr="00E93F97">
              <w:t>cientific merit</w:t>
            </w:r>
            <w:r w:rsidR="0018366A" w:rsidRPr="001C6AF9">
              <w:t xml:space="preserve"> of the research</w:t>
            </w:r>
            <w:r w:rsidR="00140468" w:rsidRPr="001C6AF9">
              <w:t>. The IRB may rely on outside experts to provide an evaluation of the scientific merit.</w:t>
            </w:r>
          </w:p>
        </w:tc>
        <w:tc>
          <w:tcPr>
            <w:tcW w:w="4320" w:type="dxa"/>
            <w:shd w:val="clear" w:color="auto" w:fill="auto"/>
          </w:tcPr>
          <w:p w:rsidR="00D173AF" w:rsidRPr="001C6AF9" w:rsidRDefault="005F1E25" w:rsidP="002B33FA">
            <w:pPr>
              <w:autoSpaceDE w:val="0"/>
              <w:autoSpaceDN w:val="0"/>
              <w:adjustRightInd w:val="0"/>
            </w:pPr>
            <w:r>
              <w:t xml:space="preserve">Scientific merit:  </w:t>
            </w:r>
            <w:r w:rsidR="00D173AF" w:rsidRPr="001C6AF9">
              <w:t xml:space="preserve">Documentation that the </w:t>
            </w:r>
            <w:r w:rsidR="007A764A">
              <w:t>DoD</w:t>
            </w:r>
            <w:r w:rsidR="00D173AF" w:rsidRPr="001C6AF9">
              <w:t xml:space="preserve">-supported </w:t>
            </w:r>
            <w:r w:rsidR="00CA4957">
              <w:t>human subjects research</w:t>
            </w:r>
            <w:r w:rsidR="00D173AF" w:rsidRPr="001C6AF9">
              <w:t xml:space="preserve"> has been reviewed and approved by an IRB, including</w:t>
            </w:r>
            <w:r w:rsidR="00CB7098" w:rsidRPr="001C6AF9">
              <w:t xml:space="preserve"> </w:t>
            </w:r>
            <w:r w:rsidR="00CB7098" w:rsidRPr="00E93F97">
              <w:t>scientific merit</w:t>
            </w:r>
            <w:r w:rsidR="002B33FA">
              <w:t xml:space="preserve"> . . .</w:t>
            </w:r>
          </w:p>
        </w:tc>
        <w:tc>
          <w:tcPr>
            <w:tcW w:w="5310" w:type="dxa"/>
            <w:shd w:val="clear" w:color="auto" w:fill="auto"/>
          </w:tcPr>
          <w:p w:rsidR="00D173AF" w:rsidRPr="001C6AF9" w:rsidRDefault="00D173AF" w:rsidP="00884B1C"/>
        </w:tc>
      </w:tr>
      <w:tr w:rsidR="00CB7098" w:rsidRPr="001C6AF9" w:rsidTr="00517E85">
        <w:trPr>
          <w:trHeight w:val="1632"/>
        </w:trPr>
        <w:tc>
          <w:tcPr>
            <w:tcW w:w="4495" w:type="dxa"/>
            <w:shd w:val="clear" w:color="auto" w:fill="auto"/>
          </w:tcPr>
          <w:p w:rsidR="00CB7098" w:rsidRPr="001C6AF9" w:rsidRDefault="005F1E25" w:rsidP="007A764A">
            <w:pPr>
              <w:autoSpaceDE w:val="0"/>
              <w:autoSpaceDN w:val="0"/>
              <w:adjustRightInd w:val="0"/>
            </w:pPr>
            <w:r>
              <w:t xml:space="preserve">Education and Training:  </w:t>
            </w:r>
            <w:r w:rsidR="002B33FA">
              <w:t>[</w:t>
            </w:r>
            <w:r w:rsidR="00884B1C">
              <w:t xml:space="preserve">The </w:t>
            </w:r>
            <w:r w:rsidR="007A764A">
              <w:t>HRPO</w:t>
            </w:r>
            <w:r w:rsidR="00884B1C">
              <w:t xml:space="preserve"> m</w:t>
            </w:r>
            <w:r w:rsidR="002B33FA">
              <w:t>ust] e</w:t>
            </w:r>
            <w:r w:rsidR="00CB7098" w:rsidRPr="001C6AF9">
              <w:t>valuate the non-</w:t>
            </w:r>
            <w:r w:rsidR="007A764A">
              <w:t>DoD</w:t>
            </w:r>
            <w:r w:rsidR="00CB7098" w:rsidRPr="001C6AF9">
              <w:t xml:space="preserve"> institution’s education and training policies to ensure the personnel are qualified to perform the research. The rigor of the evaluation should be appropriate for the complexity and risk of the research.</w:t>
            </w:r>
          </w:p>
        </w:tc>
        <w:tc>
          <w:tcPr>
            <w:tcW w:w="4320" w:type="dxa"/>
            <w:shd w:val="clear" w:color="auto" w:fill="auto"/>
          </w:tcPr>
          <w:p w:rsidR="00CB7098" w:rsidRPr="001C6AF9" w:rsidRDefault="005F1E25" w:rsidP="00D173AF">
            <w:pPr>
              <w:autoSpaceDE w:val="0"/>
              <w:autoSpaceDN w:val="0"/>
              <w:adjustRightInd w:val="0"/>
            </w:pPr>
            <w:r>
              <w:t xml:space="preserve">Education and Training: </w:t>
            </w:r>
            <w:r w:rsidR="00CB7098" w:rsidRPr="001C6AF9">
              <w:t xml:space="preserve">Documentation of key investigators’ </w:t>
            </w:r>
            <w:r w:rsidR="00CB7098" w:rsidRPr="00E93F97">
              <w:t>human research protection training</w:t>
            </w:r>
            <w:r w:rsidR="00CB7098" w:rsidRPr="001C6AF9">
              <w:t>.</w:t>
            </w:r>
          </w:p>
        </w:tc>
        <w:tc>
          <w:tcPr>
            <w:tcW w:w="5310" w:type="dxa"/>
            <w:shd w:val="clear" w:color="auto" w:fill="auto"/>
          </w:tcPr>
          <w:p w:rsidR="00CB7098" w:rsidRPr="001C6AF9" w:rsidRDefault="007A764A">
            <w:r>
              <w:t>OHARO</w:t>
            </w:r>
            <w:r w:rsidR="00884B1C" w:rsidRPr="001C6AF9">
              <w:t xml:space="preserve"> </w:t>
            </w:r>
            <w:r>
              <w:t>OHRO</w:t>
            </w:r>
            <w:r w:rsidR="00884B1C" w:rsidRPr="001C6AF9">
              <w:t xml:space="preserve"> requires documentation of </w:t>
            </w:r>
            <w:r w:rsidR="00884B1C">
              <w:t xml:space="preserve">current </w:t>
            </w:r>
            <w:r w:rsidR="00884B1C" w:rsidRPr="001C6AF9">
              <w:t>human subjects protection training for the Principal Investigator and all Associate Investigators named on the protocol.</w:t>
            </w:r>
          </w:p>
        </w:tc>
      </w:tr>
      <w:tr w:rsidR="00CB7098" w:rsidRPr="001C6AF9" w:rsidTr="00517E85">
        <w:trPr>
          <w:trHeight w:val="1632"/>
        </w:trPr>
        <w:tc>
          <w:tcPr>
            <w:tcW w:w="4495" w:type="dxa"/>
            <w:shd w:val="clear" w:color="auto" w:fill="auto"/>
          </w:tcPr>
          <w:p w:rsidR="00CB7098" w:rsidRPr="001C6AF9" w:rsidRDefault="005F1E25" w:rsidP="007A764A">
            <w:pPr>
              <w:autoSpaceDE w:val="0"/>
              <w:autoSpaceDN w:val="0"/>
              <w:adjustRightInd w:val="0"/>
            </w:pPr>
            <w:r>
              <w:t xml:space="preserve">Assurance: </w:t>
            </w:r>
            <w:r w:rsidR="00CA4957">
              <w:t xml:space="preserve"> </w:t>
            </w:r>
            <w:r w:rsidR="00E93F97" w:rsidRPr="001C6AF9">
              <w:t xml:space="preserve">At a minimum, the </w:t>
            </w:r>
            <w:r w:rsidR="007A764A">
              <w:t>HRPO</w:t>
            </w:r>
            <w:r w:rsidR="00E93F97" w:rsidRPr="001C6AF9">
              <w:t xml:space="preserve"> must</w:t>
            </w:r>
            <w:r w:rsidR="005C3A3F">
              <w:t xml:space="preserve"> c</w:t>
            </w:r>
            <w:r w:rsidR="00E93F97" w:rsidRPr="001C6AF9">
              <w:t>onfirm the non-</w:t>
            </w:r>
            <w:r w:rsidR="007A764A">
              <w:t>DoD</w:t>
            </w:r>
            <w:r w:rsidR="00E93F97" w:rsidRPr="001C6AF9">
              <w:t xml:space="preserve"> institution has a Federal assurance appropriate for the research in question.</w:t>
            </w:r>
          </w:p>
        </w:tc>
        <w:tc>
          <w:tcPr>
            <w:tcW w:w="4320" w:type="dxa"/>
            <w:shd w:val="clear" w:color="auto" w:fill="auto"/>
          </w:tcPr>
          <w:p w:rsidR="00FE376A" w:rsidRPr="001C6AF9" w:rsidRDefault="005F1E25" w:rsidP="00FE376A">
            <w:pPr>
              <w:autoSpaceDE w:val="0"/>
              <w:autoSpaceDN w:val="0"/>
              <w:adjustRightInd w:val="0"/>
            </w:pPr>
            <w:r>
              <w:t xml:space="preserve">Assurance:  </w:t>
            </w:r>
            <w:r w:rsidR="00E93F97" w:rsidRPr="001C6AF9">
              <w:t>Current Federalwide Assurance (FWA) and IRB registration numbers.</w:t>
            </w:r>
          </w:p>
          <w:p w:rsidR="00CB7098" w:rsidRPr="001C6AF9" w:rsidRDefault="00CB7098" w:rsidP="00D173AF">
            <w:pPr>
              <w:autoSpaceDE w:val="0"/>
              <w:autoSpaceDN w:val="0"/>
              <w:adjustRightInd w:val="0"/>
            </w:pPr>
          </w:p>
        </w:tc>
        <w:tc>
          <w:tcPr>
            <w:tcW w:w="5310" w:type="dxa"/>
            <w:shd w:val="clear" w:color="auto" w:fill="auto"/>
          </w:tcPr>
          <w:p w:rsidR="00CB7098" w:rsidRPr="001C6AF9" w:rsidRDefault="00313C4A" w:rsidP="00313C4A">
            <w:r>
              <w:t>All non-</w:t>
            </w:r>
            <w:r w:rsidR="007A764A">
              <w:t>DoD</w:t>
            </w:r>
            <w:r>
              <w:t xml:space="preserve"> institutions</w:t>
            </w:r>
            <w:r w:rsidR="00824BAD">
              <w:t xml:space="preserve"> (both U.S. and international sites)</w:t>
            </w:r>
            <w:r>
              <w:t xml:space="preserve"> whose employees interact/intervene with research subjects or their identifiable data must have a</w:t>
            </w:r>
            <w:r w:rsidR="00824BAD">
              <w:t>n approved</w:t>
            </w:r>
            <w:r>
              <w:t xml:space="preserve"> FWA.  Additional information available</w:t>
            </w:r>
            <w:r w:rsidRPr="001C6AF9">
              <w:t xml:space="preserve"> at the </w:t>
            </w:r>
            <w:r w:rsidR="007A764A">
              <w:t>OHARO</w:t>
            </w:r>
            <w:r w:rsidRPr="001C6AF9">
              <w:t xml:space="preserve"> </w:t>
            </w:r>
            <w:r w:rsidR="007A764A">
              <w:t>OHRO</w:t>
            </w:r>
            <w:r w:rsidRPr="001C6AF9">
              <w:t xml:space="preserve"> website:  </w:t>
            </w:r>
            <w:r w:rsidR="007A764A" w:rsidRPr="007A764A">
              <w:t>https://mrdc.health.mil/index.cfm/collaborate/research_protections/hrpo</w:t>
            </w:r>
          </w:p>
        </w:tc>
      </w:tr>
    </w:tbl>
    <w:p w:rsidR="00824BAD" w:rsidRDefault="00824BAD"/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4495"/>
        <w:gridCol w:w="4320"/>
        <w:gridCol w:w="5310"/>
      </w:tblGrid>
      <w:tr w:rsidR="00824BAD" w:rsidRPr="001C6AF9" w:rsidTr="00517E85">
        <w:trPr>
          <w:tblHeader/>
        </w:trPr>
        <w:tc>
          <w:tcPr>
            <w:tcW w:w="14125" w:type="dxa"/>
            <w:gridSpan w:val="3"/>
            <w:shd w:val="clear" w:color="auto" w:fill="E2EFD9" w:themeFill="accent6" w:themeFillTint="33"/>
            <w:vAlign w:val="center"/>
          </w:tcPr>
          <w:p w:rsidR="00824BAD" w:rsidRPr="001C6AF9" w:rsidRDefault="007A764A" w:rsidP="007D52B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DoDI</w:t>
            </w:r>
            <w:r w:rsidR="00824BAD" w:rsidRPr="001C6AF9">
              <w:rPr>
                <w:b/>
                <w:i/>
              </w:rPr>
              <w:t xml:space="preserve"> 3216.02 Submission Requirements</w:t>
            </w:r>
            <w:r w:rsidR="00824BAD">
              <w:rPr>
                <w:b/>
                <w:i/>
              </w:rPr>
              <w:t xml:space="preserve">: </w:t>
            </w:r>
            <w:r w:rsidR="00824BAD" w:rsidRPr="001C6AF9">
              <w:rPr>
                <w:b/>
                <w:i/>
              </w:rPr>
              <w:t xml:space="preserve"> </w:t>
            </w:r>
            <w:r w:rsidR="00824BAD" w:rsidRPr="00D23528">
              <w:rPr>
                <w:b/>
                <w:i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Prior</w:t>
            </w:r>
            <w:r w:rsidR="00824BAD" w:rsidRPr="0054676A">
              <w:rPr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to </w:t>
            </w:r>
            <w:r>
              <w:rPr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OHRO</w:t>
            </w:r>
            <w:r w:rsidR="00824BAD" w:rsidRPr="0054676A">
              <w:rPr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Initial Approval</w:t>
            </w:r>
          </w:p>
        </w:tc>
      </w:tr>
      <w:tr w:rsidR="00824BAD" w:rsidRPr="001C6AF9" w:rsidTr="00517E85">
        <w:trPr>
          <w:tblHeader/>
        </w:trPr>
        <w:tc>
          <w:tcPr>
            <w:tcW w:w="8815" w:type="dxa"/>
            <w:gridSpan w:val="2"/>
            <w:shd w:val="clear" w:color="auto" w:fill="A8D08D" w:themeFill="accent6" w:themeFillTint="99"/>
            <w:vAlign w:val="center"/>
          </w:tcPr>
          <w:p w:rsidR="00824BAD" w:rsidRPr="002B33FA" w:rsidRDefault="00824BAD" w:rsidP="00551C86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Pr="002B33FA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xempt </w:t>
            </w:r>
            <w:r w:rsidR="00551C86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human subjects research and research not involving human subjects</w:t>
            </w:r>
          </w:p>
        </w:tc>
        <w:tc>
          <w:tcPr>
            <w:tcW w:w="5310" w:type="dxa"/>
            <w:vMerge w:val="restart"/>
            <w:shd w:val="clear" w:color="auto" w:fill="D9D9D9" w:themeFill="background1" w:themeFillShade="D9"/>
            <w:vAlign w:val="center"/>
          </w:tcPr>
          <w:p w:rsidR="00824BAD" w:rsidRPr="001C6AF9" w:rsidRDefault="00467736" w:rsidP="00824BAD">
            <w:pPr>
              <w:jc w:val="center"/>
              <w:rPr>
                <w:b/>
              </w:rPr>
            </w:pPr>
            <w:r>
              <w:rPr>
                <w:b/>
              </w:rPr>
              <w:t xml:space="preserve">USAMRDC </w:t>
            </w:r>
            <w:r w:rsidR="007A764A">
              <w:rPr>
                <w:b/>
              </w:rPr>
              <w:t>OHARO</w:t>
            </w:r>
            <w:r>
              <w:rPr>
                <w:b/>
              </w:rPr>
              <w:t xml:space="preserve"> </w:t>
            </w:r>
            <w:r w:rsidR="007A764A">
              <w:rPr>
                <w:b/>
              </w:rPr>
              <w:t>OHRO</w:t>
            </w:r>
            <w:r>
              <w:rPr>
                <w:b/>
              </w:rPr>
              <w:t xml:space="preserve"> </w:t>
            </w:r>
            <w:r w:rsidR="00824BAD" w:rsidRPr="001C6AF9">
              <w:rPr>
                <w:b/>
              </w:rPr>
              <w:t>Comments/Clarifications</w:t>
            </w:r>
          </w:p>
        </w:tc>
      </w:tr>
      <w:tr w:rsidR="00824BAD" w:rsidRPr="001C6AF9" w:rsidTr="00517E85">
        <w:trPr>
          <w:tblHeader/>
        </w:trPr>
        <w:tc>
          <w:tcPr>
            <w:tcW w:w="4495" w:type="dxa"/>
            <w:shd w:val="clear" w:color="auto" w:fill="D9D9D9" w:themeFill="background1" w:themeFillShade="D9"/>
            <w:vAlign w:val="center"/>
          </w:tcPr>
          <w:p w:rsidR="00824BAD" w:rsidRPr="001C6AF9" w:rsidRDefault="00824BAD" w:rsidP="007D52BE">
            <w:pPr>
              <w:jc w:val="center"/>
              <w:rPr>
                <w:b/>
              </w:rPr>
            </w:pPr>
            <w:r w:rsidRPr="00C5089B">
              <w:rPr>
                <w:b/>
                <w:u w:val="single"/>
              </w:rPr>
              <w:t>Previous</w:t>
            </w:r>
            <w:r w:rsidRPr="001C6AF9">
              <w:rPr>
                <w:b/>
              </w:rPr>
              <w:t xml:space="preserve"> </w:t>
            </w:r>
            <w:r w:rsidR="007A764A">
              <w:rPr>
                <w:b/>
              </w:rPr>
              <w:t>DoDI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824BAD" w:rsidRDefault="00824BAD" w:rsidP="007D52BE">
            <w:pPr>
              <w:jc w:val="center"/>
            </w:pPr>
            <w:r w:rsidRPr="00C5089B">
              <w:rPr>
                <w:b/>
                <w:u w:val="single"/>
              </w:rPr>
              <w:t>Current</w:t>
            </w:r>
            <w:r w:rsidRPr="001C6AF9">
              <w:rPr>
                <w:b/>
              </w:rPr>
              <w:t xml:space="preserve"> </w:t>
            </w:r>
            <w:r w:rsidR="007A764A">
              <w:rPr>
                <w:b/>
              </w:rPr>
              <w:t>DoDI</w:t>
            </w:r>
          </w:p>
          <w:p w:rsidR="00CA4957" w:rsidRPr="00E93F97" w:rsidRDefault="00824BAD" w:rsidP="00CA4957">
            <w:pPr>
              <w:rPr>
                <w:b/>
                <w:i/>
              </w:rPr>
            </w:pPr>
            <w:r w:rsidRPr="00E93F97">
              <w:rPr>
                <w:b/>
                <w:i/>
              </w:rPr>
              <w:t xml:space="preserve">For </w:t>
            </w:r>
            <w:r w:rsidR="007A764A">
              <w:rPr>
                <w:b/>
                <w:i/>
              </w:rPr>
              <w:t>DoD</w:t>
            </w:r>
            <w:r w:rsidRPr="00E93F97">
              <w:rPr>
                <w:b/>
                <w:i/>
              </w:rPr>
              <w:t xml:space="preserve">-supported, non-exempt </w:t>
            </w:r>
            <w:r w:rsidR="00CA4957">
              <w:rPr>
                <w:b/>
                <w:i/>
              </w:rPr>
              <w:t>human subjects research</w:t>
            </w:r>
            <w:r w:rsidRPr="00E93F97">
              <w:rPr>
                <w:b/>
                <w:i/>
              </w:rPr>
              <w:t xml:space="preserve">, the awardee institution must </w:t>
            </w:r>
            <w:r w:rsidRPr="00CA4957">
              <w:rPr>
                <w:b/>
                <w:i/>
                <w:u w:val="single"/>
              </w:rPr>
              <w:t xml:space="preserve">submit to the </w:t>
            </w:r>
            <w:r w:rsidR="007A764A">
              <w:rPr>
                <w:b/>
                <w:i/>
                <w:u w:val="single"/>
              </w:rPr>
              <w:t>OHRO</w:t>
            </w:r>
            <w:r w:rsidR="00CA4957">
              <w:rPr>
                <w:b/>
                <w:i/>
              </w:rPr>
              <w:t>:</w:t>
            </w:r>
          </w:p>
        </w:tc>
        <w:tc>
          <w:tcPr>
            <w:tcW w:w="5310" w:type="dxa"/>
            <w:vMerge/>
            <w:shd w:val="clear" w:color="auto" w:fill="D9D9D9" w:themeFill="background1" w:themeFillShade="D9"/>
            <w:vAlign w:val="center"/>
          </w:tcPr>
          <w:p w:rsidR="00824BAD" w:rsidRPr="001C6AF9" w:rsidRDefault="00824BAD" w:rsidP="007D52BE">
            <w:pPr>
              <w:rPr>
                <w:b/>
              </w:rPr>
            </w:pPr>
          </w:p>
        </w:tc>
      </w:tr>
      <w:tr w:rsidR="001C6AF9" w:rsidRPr="001C6AF9" w:rsidTr="00517E85">
        <w:tc>
          <w:tcPr>
            <w:tcW w:w="4495" w:type="dxa"/>
          </w:tcPr>
          <w:p w:rsidR="00D173AF" w:rsidRPr="001C6AF9" w:rsidRDefault="005F1E25" w:rsidP="007A764A">
            <w:pPr>
              <w:autoSpaceDE w:val="0"/>
              <w:autoSpaceDN w:val="0"/>
              <w:adjustRightInd w:val="0"/>
            </w:pPr>
            <w:r>
              <w:t xml:space="preserve">Institutional Determinations:  </w:t>
            </w:r>
            <w:r w:rsidR="005804BC" w:rsidRPr="001C6AF9">
              <w:t>When the contract or other agreement may include research involving human subjects and if the non-</w:t>
            </w:r>
            <w:r w:rsidR="007A764A">
              <w:t>DoD</w:t>
            </w:r>
            <w:r w:rsidR="005804BC" w:rsidRPr="001C6AF9">
              <w:t xml:space="preserve"> institution determines either the activity is </w:t>
            </w:r>
            <w:r w:rsidR="005804BC" w:rsidRPr="001C6AF9">
              <w:rPr>
                <w:b/>
              </w:rPr>
              <w:t>not research involving human subjects or is exempt</w:t>
            </w:r>
            <w:r w:rsidR="005804BC" w:rsidRPr="001C6AF9">
              <w:t xml:space="preserve"> research involving human subjects, the </w:t>
            </w:r>
            <w:r w:rsidR="007A764A">
              <w:t>HRPO</w:t>
            </w:r>
            <w:r w:rsidR="005804BC" w:rsidRPr="001C6AF9">
              <w:t xml:space="preserve"> must concur with the performing institution’s determination before activity can begin.</w:t>
            </w:r>
          </w:p>
        </w:tc>
        <w:tc>
          <w:tcPr>
            <w:tcW w:w="4320" w:type="dxa"/>
            <w:shd w:val="clear" w:color="auto" w:fill="auto"/>
          </w:tcPr>
          <w:p w:rsidR="00D173AF" w:rsidRPr="001C6AF9" w:rsidRDefault="005F1E25" w:rsidP="007A764A">
            <w:pPr>
              <w:autoSpaceDE w:val="0"/>
              <w:autoSpaceDN w:val="0"/>
              <w:adjustRightInd w:val="0"/>
            </w:pPr>
            <w:r>
              <w:t xml:space="preserve">Institutional determinations: </w:t>
            </w:r>
            <w:r w:rsidR="00D173AF" w:rsidRPr="001C6AF9">
              <w:t xml:space="preserve">For </w:t>
            </w:r>
            <w:r w:rsidR="007A764A">
              <w:t>DoD</w:t>
            </w:r>
            <w:r w:rsidR="00D173AF" w:rsidRPr="001C6AF9">
              <w:t xml:space="preserve">-supported research that is </w:t>
            </w:r>
            <w:r w:rsidR="00D173AF" w:rsidRPr="001C6AF9">
              <w:rPr>
                <w:b/>
              </w:rPr>
              <w:t>exempt or does not involve human subjects</w:t>
            </w:r>
            <w:r w:rsidR="00D173AF" w:rsidRPr="001C6AF9">
              <w:t xml:space="preserve"> the awardee institution </w:t>
            </w:r>
            <w:r w:rsidR="00D173AF" w:rsidRPr="00CA4957">
              <w:rPr>
                <w:u w:val="single"/>
              </w:rPr>
              <w:t>must submit</w:t>
            </w:r>
            <w:r w:rsidR="00D173AF" w:rsidRPr="001C6AF9">
              <w:t xml:space="preserve"> to the </w:t>
            </w:r>
            <w:r w:rsidR="007A764A">
              <w:t>HRPO</w:t>
            </w:r>
            <w:r w:rsidR="00D173AF" w:rsidRPr="001C6AF9">
              <w:t xml:space="preserve"> institutional documentation of the determination that the research is either not </w:t>
            </w:r>
            <w:r w:rsidR="00CA4957">
              <w:t>human subjects research</w:t>
            </w:r>
            <w:r w:rsidR="00D173AF" w:rsidRPr="001C6AF9">
              <w:t xml:space="preserve">, exempt </w:t>
            </w:r>
            <w:r w:rsidR="00CA4957">
              <w:t>human subjects research</w:t>
            </w:r>
            <w:r w:rsidR="00D173AF" w:rsidRPr="001C6AF9">
              <w:t>, or limited IRB review, to include all protocol documents.</w:t>
            </w:r>
          </w:p>
        </w:tc>
        <w:tc>
          <w:tcPr>
            <w:tcW w:w="5310" w:type="dxa"/>
            <w:shd w:val="clear" w:color="auto" w:fill="auto"/>
          </w:tcPr>
          <w:p w:rsidR="00D173AF" w:rsidRPr="001C6AF9" w:rsidRDefault="00824BAD" w:rsidP="0054676A">
            <w:r>
              <w:t>See guidance</w:t>
            </w:r>
            <w:r w:rsidR="0054676A">
              <w:t xml:space="preserve"> and submission forms</w:t>
            </w:r>
            <w:r>
              <w:t xml:space="preserve"> at </w:t>
            </w:r>
            <w:r w:rsidR="00DB48C6" w:rsidRPr="00DB48C6">
              <w:t>https://mrdc.health.mil/index.cfm/collaborate/research_protections/hrpo</w:t>
            </w:r>
            <w:bookmarkStart w:id="0" w:name="_GoBack"/>
            <w:bookmarkEnd w:id="0"/>
          </w:p>
        </w:tc>
      </w:tr>
    </w:tbl>
    <w:p w:rsidR="001738DF" w:rsidRPr="001C6AF9" w:rsidRDefault="001738DF"/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4495"/>
        <w:gridCol w:w="4320"/>
        <w:gridCol w:w="5310"/>
      </w:tblGrid>
      <w:tr w:rsidR="001C6AF9" w:rsidRPr="001C6AF9" w:rsidTr="00517E85">
        <w:trPr>
          <w:tblHeader/>
        </w:trPr>
        <w:tc>
          <w:tcPr>
            <w:tcW w:w="14125" w:type="dxa"/>
            <w:gridSpan w:val="3"/>
            <w:shd w:val="clear" w:color="auto" w:fill="E2EFD9" w:themeFill="accent6" w:themeFillTint="33"/>
            <w:vAlign w:val="center"/>
          </w:tcPr>
          <w:p w:rsidR="00EC6BC3" w:rsidRPr="001C6AF9" w:rsidRDefault="007A764A" w:rsidP="00EC6B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DoDI</w:t>
            </w:r>
            <w:r w:rsidR="00EC6BC3" w:rsidRPr="001C6AF9">
              <w:rPr>
                <w:b/>
                <w:i/>
              </w:rPr>
              <w:t xml:space="preserve"> </w:t>
            </w:r>
            <w:r w:rsidR="0044550C" w:rsidRPr="001C6AF9">
              <w:rPr>
                <w:b/>
                <w:i/>
              </w:rPr>
              <w:t xml:space="preserve">3216.02 </w:t>
            </w:r>
            <w:r w:rsidR="00EC6BC3" w:rsidRPr="001C6AF9">
              <w:rPr>
                <w:b/>
                <w:i/>
              </w:rPr>
              <w:t>Submission Requirements</w:t>
            </w:r>
            <w:r w:rsidR="002B33FA">
              <w:rPr>
                <w:b/>
                <w:i/>
              </w:rPr>
              <w:t xml:space="preserve">: </w:t>
            </w:r>
            <w:r w:rsidR="00EC6BC3" w:rsidRPr="001C6AF9">
              <w:rPr>
                <w:b/>
                <w:i/>
              </w:rPr>
              <w:t xml:space="preserve"> </w:t>
            </w:r>
            <w:r w:rsidR="00EC6BC3" w:rsidRPr="00D23528">
              <w:rPr>
                <w:b/>
                <w:i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After</w:t>
            </w:r>
            <w:r w:rsidR="00EC6BC3" w:rsidRPr="0054676A">
              <w:rPr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OHRO</w:t>
            </w:r>
            <w:r w:rsidR="00EC6BC3" w:rsidRPr="0054676A">
              <w:rPr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Approval</w:t>
            </w:r>
          </w:p>
        </w:tc>
      </w:tr>
      <w:tr w:rsidR="001C6AF9" w:rsidRPr="001C6AF9" w:rsidTr="00517E85">
        <w:trPr>
          <w:tblHeader/>
        </w:trPr>
        <w:tc>
          <w:tcPr>
            <w:tcW w:w="4495" w:type="dxa"/>
            <w:shd w:val="clear" w:color="auto" w:fill="D9D9D9" w:themeFill="background1" w:themeFillShade="D9"/>
            <w:vAlign w:val="center"/>
          </w:tcPr>
          <w:p w:rsidR="00823DB3" w:rsidRPr="001C6AF9" w:rsidRDefault="00823DB3" w:rsidP="009906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4BAD">
              <w:rPr>
                <w:b/>
                <w:u w:val="single"/>
              </w:rPr>
              <w:t>Previous</w:t>
            </w:r>
            <w:r w:rsidRPr="001C6AF9">
              <w:rPr>
                <w:b/>
              </w:rPr>
              <w:t xml:space="preserve"> </w:t>
            </w:r>
            <w:r w:rsidR="007A764A">
              <w:rPr>
                <w:b/>
              </w:rPr>
              <w:t>DoDI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BC7F5C" w:rsidRPr="001C6AF9" w:rsidRDefault="00823DB3" w:rsidP="00BC7F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4BAD">
              <w:rPr>
                <w:b/>
                <w:u w:val="single"/>
              </w:rPr>
              <w:t>Current</w:t>
            </w:r>
            <w:r w:rsidRPr="001C6AF9">
              <w:rPr>
                <w:b/>
              </w:rPr>
              <w:t xml:space="preserve"> </w:t>
            </w:r>
            <w:r w:rsidR="007A764A">
              <w:rPr>
                <w:b/>
              </w:rPr>
              <w:t>DoDI</w:t>
            </w:r>
          </w:p>
          <w:p w:rsidR="00823DB3" w:rsidRPr="00990654" w:rsidRDefault="00BC7F5C" w:rsidP="00BC7F5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90654">
              <w:rPr>
                <w:b/>
                <w:i/>
              </w:rPr>
              <w:t>The non-</w:t>
            </w:r>
            <w:r w:rsidR="007A764A">
              <w:rPr>
                <w:b/>
                <w:i/>
              </w:rPr>
              <w:t>DoD</w:t>
            </w:r>
            <w:r w:rsidRPr="00990654">
              <w:rPr>
                <w:b/>
                <w:i/>
              </w:rPr>
              <w:t xml:space="preserve"> institution must </w:t>
            </w:r>
            <w:r w:rsidRPr="00CA4957">
              <w:rPr>
                <w:b/>
                <w:i/>
                <w:u w:val="single"/>
              </w:rPr>
              <w:t>promptly notify</w:t>
            </w:r>
            <w:r w:rsidRPr="00990654">
              <w:rPr>
                <w:b/>
                <w:i/>
              </w:rPr>
              <w:t xml:space="preserve"> the </w:t>
            </w:r>
            <w:r w:rsidR="007A764A">
              <w:rPr>
                <w:b/>
                <w:i/>
              </w:rPr>
              <w:t>OHRO</w:t>
            </w:r>
            <w:r w:rsidRPr="00990654">
              <w:rPr>
                <w:b/>
                <w:i/>
              </w:rPr>
              <w:t xml:space="preserve"> of: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:rsidR="00823DB3" w:rsidRPr="001C6AF9" w:rsidRDefault="00BC7F5C" w:rsidP="00990654">
            <w:pPr>
              <w:jc w:val="center"/>
              <w:rPr>
                <w:b/>
              </w:rPr>
            </w:pPr>
            <w:r w:rsidRPr="001C6AF9">
              <w:rPr>
                <w:b/>
              </w:rPr>
              <w:t>How Defined/Implemented by the USAMRDC </w:t>
            </w:r>
            <w:r w:rsidR="007A764A">
              <w:rPr>
                <w:b/>
              </w:rPr>
              <w:t>OHARO</w:t>
            </w:r>
            <w:r w:rsidRPr="001C6AF9">
              <w:rPr>
                <w:b/>
              </w:rPr>
              <w:t> </w:t>
            </w:r>
            <w:r w:rsidR="007A764A">
              <w:rPr>
                <w:b/>
              </w:rPr>
              <w:t>OHRO</w:t>
            </w:r>
            <w:r w:rsidRPr="001C6AF9">
              <w:rPr>
                <w:b/>
              </w:rPr>
              <w:t>:</w:t>
            </w:r>
          </w:p>
        </w:tc>
      </w:tr>
      <w:tr w:rsidR="001C6AF9" w:rsidRPr="001C6AF9" w:rsidTr="00517E85">
        <w:tc>
          <w:tcPr>
            <w:tcW w:w="4495" w:type="dxa"/>
            <w:shd w:val="clear" w:color="auto" w:fill="auto"/>
          </w:tcPr>
          <w:p w:rsidR="00FF088C" w:rsidRPr="001C6AF9" w:rsidRDefault="005A22E9" w:rsidP="00823DB3">
            <w:pPr>
              <w:autoSpaceDE w:val="0"/>
              <w:autoSpaceDN w:val="0"/>
              <w:adjustRightInd w:val="0"/>
            </w:pPr>
            <w:r w:rsidRPr="001C6AF9">
              <w:t xml:space="preserve">The </w:t>
            </w:r>
            <w:r w:rsidR="007A764A">
              <w:t>HRPO</w:t>
            </w:r>
            <w:r w:rsidRPr="001C6AF9">
              <w:t xml:space="preserve"> must</w:t>
            </w:r>
            <w:r w:rsidR="00896257" w:rsidRPr="001C6AF9">
              <w:t xml:space="preserve"> . . . </w:t>
            </w:r>
            <w:r w:rsidRPr="001C6AF9">
              <w:t>review and accept IRB-approved substantive changes to an approved research protocol before they are implemented.</w:t>
            </w:r>
          </w:p>
          <w:p w:rsidR="004E2D0C" w:rsidRPr="001C6AF9" w:rsidRDefault="004E2D0C" w:rsidP="00823DB3">
            <w:pPr>
              <w:autoSpaceDE w:val="0"/>
              <w:autoSpaceDN w:val="0"/>
              <w:adjustRightInd w:val="0"/>
            </w:pPr>
          </w:p>
          <w:p w:rsidR="004E2D0C" w:rsidRPr="001C6AF9" w:rsidRDefault="004E2D0C" w:rsidP="007A764A">
            <w:pPr>
              <w:autoSpaceDE w:val="0"/>
              <w:autoSpaceDN w:val="0"/>
              <w:adjustRightInd w:val="0"/>
            </w:pPr>
            <w:r w:rsidRPr="001C6AF9">
              <w:t>The non-</w:t>
            </w:r>
            <w:r w:rsidR="007A764A">
              <w:t>DoD</w:t>
            </w:r>
            <w:r w:rsidRPr="001C6AF9">
              <w:t xml:space="preserve"> institution must promptly notify the </w:t>
            </w:r>
            <w:r w:rsidR="007A764A">
              <w:t>HRPO</w:t>
            </w:r>
            <w:r w:rsidRPr="001C6AF9">
              <w:t xml:space="preserve"> of the following:  when significant changes to the research protocol are approved by the IRB, . . . if the IRB used to review and approve the research changes to a different IRB . . .</w:t>
            </w:r>
          </w:p>
        </w:tc>
        <w:tc>
          <w:tcPr>
            <w:tcW w:w="4320" w:type="dxa"/>
            <w:shd w:val="clear" w:color="auto" w:fill="auto"/>
          </w:tcPr>
          <w:p w:rsidR="00CA4957" w:rsidRDefault="00823DB3" w:rsidP="00823DB3">
            <w:pPr>
              <w:autoSpaceDE w:val="0"/>
              <w:autoSpaceDN w:val="0"/>
              <w:adjustRightInd w:val="0"/>
            </w:pPr>
            <w:r w:rsidRPr="001C6AF9">
              <w:t xml:space="preserve">IRB-approved changes to </w:t>
            </w:r>
            <w:r w:rsidR="00CA4957">
              <w:t>human subjects research</w:t>
            </w:r>
            <w:r w:rsidRPr="001C6AF9">
              <w:t xml:space="preserve"> that involve</w:t>
            </w:r>
            <w:r w:rsidR="00CA4957">
              <w:t>:</w:t>
            </w:r>
          </w:p>
          <w:p w:rsidR="00CA4957" w:rsidRDefault="00CA4957" w:rsidP="00823DB3">
            <w:pPr>
              <w:autoSpaceDE w:val="0"/>
              <w:autoSpaceDN w:val="0"/>
              <w:adjustRightInd w:val="0"/>
            </w:pPr>
            <w:r>
              <w:t>-</w:t>
            </w:r>
            <w:r w:rsidR="00823DB3" w:rsidRPr="001C6AF9">
              <w:t xml:space="preserve"> changes to key investigators or institutions</w:t>
            </w:r>
          </w:p>
          <w:p w:rsidR="00CA4957" w:rsidRDefault="00CA4957" w:rsidP="00823DB3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823DB3" w:rsidRPr="001C6AF9">
              <w:t>decreased benefit or increased risk to subjects in greater than minimal risk research as defined in Part 219 of Title 32</w:t>
            </w:r>
          </w:p>
          <w:p w:rsidR="00823DB3" w:rsidRPr="001C6AF9" w:rsidRDefault="00CA4957" w:rsidP="00823DB3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823DB3" w:rsidRPr="001C6AF9">
              <w:t xml:space="preserve">addition of vulnerable populations, or </w:t>
            </w:r>
            <w:r w:rsidR="007A764A">
              <w:t>DoD</w:t>
            </w:r>
            <w:r w:rsidR="00823DB3" w:rsidRPr="001C6AF9">
              <w:t>-affiliated personnel as subjects.</w:t>
            </w:r>
          </w:p>
          <w:p w:rsidR="00823DB3" w:rsidRPr="001C6AF9" w:rsidRDefault="00823DB3" w:rsidP="00FA13CC">
            <w:pPr>
              <w:autoSpaceDE w:val="0"/>
              <w:autoSpaceDN w:val="0"/>
              <w:adjustRightInd w:val="0"/>
            </w:pPr>
          </w:p>
          <w:p w:rsidR="00FF088C" w:rsidRPr="001C6AF9" w:rsidRDefault="00FF088C" w:rsidP="00FA13CC">
            <w:pPr>
              <w:autoSpaceDE w:val="0"/>
              <w:autoSpaceDN w:val="0"/>
              <w:adjustRightInd w:val="0"/>
            </w:pPr>
            <w:r w:rsidRPr="001C6AF9">
              <w:lastRenderedPageBreak/>
              <w:t xml:space="preserve">Transfer of </w:t>
            </w:r>
            <w:r w:rsidR="00CA4957">
              <w:t>human subjects research</w:t>
            </w:r>
            <w:r w:rsidRPr="001C6AF9">
              <w:t xml:space="preserve"> oversight to a different IRB.</w:t>
            </w:r>
          </w:p>
        </w:tc>
        <w:tc>
          <w:tcPr>
            <w:tcW w:w="5310" w:type="dxa"/>
            <w:shd w:val="clear" w:color="auto" w:fill="auto"/>
          </w:tcPr>
          <w:p w:rsidR="00FF088C" w:rsidRPr="001C6AF9" w:rsidRDefault="00FF088C" w:rsidP="00FA13CC">
            <w:r w:rsidRPr="001C6AF9">
              <w:lastRenderedPageBreak/>
              <w:t xml:space="preserve">Substantive modifications to the research protocol and any modifications that could potentially increase risk to subjects must be submitted to the </w:t>
            </w:r>
            <w:r w:rsidR="007A764A">
              <w:t>OHRO</w:t>
            </w:r>
            <w:r w:rsidRPr="001C6AF9">
              <w:t xml:space="preserve"> for approval prior to implementation.</w:t>
            </w:r>
          </w:p>
          <w:p w:rsidR="00FF088C" w:rsidRPr="001C6AF9" w:rsidRDefault="00FF088C" w:rsidP="00FA13CC"/>
          <w:p w:rsidR="00FF088C" w:rsidRPr="001C6AF9" w:rsidRDefault="00FF088C" w:rsidP="00FA13CC">
            <w:r w:rsidRPr="001C6AF9">
              <w:t xml:space="preserve">The USAMRDC </w:t>
            </w:r>
            <w:r w:rsidR="007A764A">
              <w:t>OHARO</w:t>
            </w:r>
            <w:r w:rsidRPr="001C6AF9">
              <w:t xml:space="preserve"> </w:t>
            </w:r>
            <w:r w:rsidR="007A764A">
              <w:t>OHRO</w:t>
            </w:r>
            <w:r w:rsidRPr="001C6AF9">
              <w:t xml:space="preserve"> defines a substantive modification as a change in Principal Investigator, change or addition of an institution (Note:  </w:t>
            </w:r>
            <w:r w:rsidR="007A764A">
              <w:t>OHRO</w:t>
            </w:r>
            <w:r w:rsidRPr="001C6AF9">
              <w:t xml:space="preserve"> review and approval of institution is required.), change to the IRB of Record, elimination or alteration of the consent </w:t>
            </w:r>
            <w:r w:rsidRPr="001C6AF9">
              <w:lastRenderedPageBreak/>
              <w:t>process, change to the study population that has regulatory implications (e.g. adding children, adding active duty population, etc.), significant change in study design (i.e. would prompt additional scientific review), or a change that could potentially increase risks to subjects.</w:t>
            </w:r>
          </w:p>
        </w:tc>
      </w:tr>
      <w:tr w:rsidR="001C6AF9" w:rsidRPr="001C6AF9" w:rsidTr="00517E85">
        <w:tc>
          <w:tcPr>
            <w:tcW w:w="4495" w:type="dxa"/>
          </w:tcPr>
          <w:p w:rsidR="00FF088C" w:rsidRPr="001C6AF9" w:rsidRDefault="005A22E9" w:rsidP="007A764A">
            <w:pPr>
              <w:autoSpaceDE w:val="0"/>
              <w:autoSpaceDN w:val="0"/>
              <w:adjustRightInd w:val="0"/>
            </w:pPr>
            <w:r w:rsidRPr="001C6AF9">
              <w:lastRenderedPageBreak/>
              <w:t xml:space="preserve">The </w:t>
            </w:r>
            <w:r w:rsidR="007A764A">
              <w:t>HRPO</w:t>
            </w:r>
            <w:r w:rsidRPr="001C6AF9">
              <w:t xml:space="preserve"> must</w:t>
            </w:r>
            <w:r w:rsidR="00896257" w:rsidRPr="001C6AF9">
              <w:t xml:space="preserve"> . . . </w:t>
            </w:r>
            <w:r w:rsidRPr="001C6AF9">
              <w:t>ensure the IRB conducts an appropriate continuing review at least annually.</w:t>
            </w:r>
          </w:p>
        </w:tc>
        <w:tc>
          <w:tcPr>
            <w:tcW w:w="4320" w:type="dxa"/>
          </w:tcPr>
          <w:p w:rsidR="00FF088C" w:rsidRPr="001C6AF9" w:rsidRDefault="00823DB3" w:rsidP="001738DF">
            <w:pPr>
              <w:autoSpaceDE w:val="0"/>
              <w:autoSpaceDN w:val="0"/>
              <w:adjustRightInd w:val="0"/>
            </w:pPr>
            <w:r w:rsidRPr="001C6AF9">
              <w:t>The results of the IRB’s continuing review, if required.</w:t>
            </w:r>
          </w:p>
        </w:tc>
        <w:tc>
          <w:tcPr>
            <w:tcW w:w="5310" w:type="dxa"/>
          </w:tcPr>
          <w:p w:rsidR="00FF088C" w:rsidRPr="001C6AF9" w:rsidRDefault="00FF088C" w:rsidP="001738DF">
            <w:r w:rsidRPr="001C6AF9">
              <w:t xml:space="preserve">A copy of the IRB continuing review approval letter, submitted to the </w:t>
            </w:r>
            <w:r w:rsidR="007A764A">
              <w:t>OHARO</w:t>
            </w:r>
            <w:r w:rsidRPr="001C6AF9">
              <w:t xml:space="preserve"> </w:t>
            </w:r>
            <w:r w:rsidR="007A764A">
              <w:t>OHRO</w:t>
            </w:r>
            <w:r w:rsidRPr="001C6AF9">
              <w:t xml:space="preserve"> as soon as possible after receipt of approval (if applicable).</w:t>
            </w:r>
          </w:p>
        </w:tc>
      </w:tr>
      <w:tr w:rsidR="001C6AF9" w:rsidRPr="001C6AF9" w:rsidTr="00517E85">
        <w:tc>
          <w:tcPr>
            <w:tcW w:w="4495" w:type="dxa"/>
            <w:shd w:val="clear" w:color="auto" w:fill="auto"/>
          </w:tcPr>
          <w:p w:rsidR="00FF088C" w:rsidRPr="001C6AF9" w:rsidRDefault="005A22E9" w:rsidP="001738DF">
            <w:pPr>
              <w:autoSpaceDE w:val="0"/>
              <w:autoSpaceDN w:val="0"/>
              <w:adjustRightInd w:val="0"/>
            </w:pPr>
            <w:r w:rsidRPr="001C6AF9">
              <w:t>Not specifically addressed.</w:t>
            </w:r>
          </w:p>
        </w:tc>
        <w:tc>
          <w:tcPr>
            <w:tcW w:w="4320" w:type="dxa"/>
            <w:shd w:val="clear" w:color="auto" w:fill="auto"/>
          </w:tcPr>
          <w:p w:rsidR="00FF088C" w:rsidRPr="001C6AF9" w:rsidRDefault="00823DB3" w:rsidP="001738DF">
            <w:pPr>
              <w:autoSpaceDE w:val="0"/>
              <w:autoSpaceDN w:val="0"/>
              <w:adjustRightInd w:val="0"/>
            </w:pPr>
            <w:r w:rsidRPr="001C6AF9">
              <w:t xml:space="preserve">A </w:t>
            </w:r>
            <w:r w:rsidR="007A764A">
              <w:t>DoD</w:t>
            </w:r>
            <w:r w:rsidRPr="001C6AF9">
              <w:t>-supported study’s closure.</w:t>
            </w:r>
          </w:p>
        </w:tc>
        <w:tc>
          <w:tcPr>
            <w:tcW w:w="5310" w:type="dxa"/>
            <w:shd w:val="clear" w:color="auto" w:fill="auto"/>
          </w:tcPr>
          <w:p w:rsidR="00FF088C" w:rsidRPr="001C6AF9" w:rsidRDefault="00FF088C" w:rsidP="001738DF">
            <w:r w:rsidRPr="001C6AF9">
              <w:t xml:space="preserve">The final study report submitted to the IRB, including a copy of any acknowledgement documentation and any supporting documents, submitted to the </w:t>
            </w:r>
            <w:r w:rsidR="007A764A">
              <w:t>OHARO</w:t>
            </w:r>
            <w:r w:rsidRPr="001C6AF9">
              <w:t xml:space="preserve"> </w:t>
            </w:r>
            <w:r w:rsidR="007A764A">
              <w:t>OHRO</w:t>
            </w:r>
            <w:r w:rsidRPr="001C6AF9">
              <w:t xml:space="preserve"> as soon as all documents become available</w:t>
            </w:r>
            <w:r w:rsidR="00176B4A">
              <w:t>.</w:t>
            </w:r>
          </w:p>
        </w:tc>
      </w:tr>
    </w:tbl>
    <w:p w:rsidR="00557CA8" w:rsidRPr="001C6AF9" w:rsidRDefault="00557CA8"/>
    <w:tbl>
      <w:tblPr>
        <w:tblStyle w:val="TableGrid"/>
        <w:tblW w:w="1412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95"/>
        <w:gridCol w:w="4320"/>
        <w:gridCol w:w="5310"/>
      </w:tblGrid>
      <w:tr w:rsidR="001C6AF9" w:rsidRPr="001C6AF9" w:rsidTr="00517E85">
        <w:trPr>
          <w:trHeight w:val="413"/>
          <w:tblHeader/>
        </w:trPr>
        <w:tc>
          <w:tcPr>
            <w:tcW w:w="14125" w:type="dxa"/>
            <w:gridSpan w:val="3"/>
            <w:shd w:val="clear" w:color="auto" w:fill="E2EFD9" w:themeFill="accent6" w:themeFillTint="33"/>
            <w:vAlign w:val="bottom"/>
          </w:tcPr>
          <w:p w:rsidR="003C3888" w:rsidRPr="001C6AF9" w:rsidRDefault="007A764A" w:rsidP="008B7E12">
            <w:pPr>
              <w:spacing w:before="2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DoDI</w:t>
            </w:r>
            <w:r w:rsidR="003C3888" w:rsidRPr="001C6AF9">
              <w:rPr>
                <w:b/>
                <w:i/>
              </w:rPr>
              <w:t xml:space="preserve"> 3216.02 Prompt Reporting Requirements</w:t>
            </w:r>
          </w:p>
        </w:tc>
      </w:tr>
      <w:tr w:rsidR="001C6AF9" w:rsidRPr="001C6AF9" w:rsidTr="00517E85">
        <w:trPr>
          <w:tblHeader/>
        </w:trPr>
        <w:tc>
          <w:tcPr>
            <w:tcW w:w="4495" w:type="dxa"/>
            <w:shd w:val="clear" w:color="auto" w:fill="D9D9D9" w:themeFill="background1" w:themeFillShade="D9"/>
            <w:vAlign w:val="center"/>
          </w:tcPr>
          <w:p w:rsidR="00007C2A" w:rsidRPr="001C6AF9" w:rsidRDefault="00007C2A" w:rsidP="00990654">
            <w:pPr>
              <w:jc w:val="center"/>
              <w:rPr>
                <w:b/>
              </w:rPr>
            </w:pPr>
            <w:r w:rsidRPr="00990654">
              <w:rPr>
                <w:b/>
                <w:u w:val="single"/>
              </w:rPr>
              <w:t>Previous</w:t>
            </w:r>
            <w:r w:rsidRPr="001C6AF9">
              <w:rPr>
                <w:b/>
              </w:rPr>
              <w:t xml:space="preserve"> </w:t>
            </w:r>
            <w:r w:rsidR="007A764A">
              <w:rPr>
                <w:b/>
              </w:rPr>
              <w:t>DoDI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007C2A" w:rsidRPr="00176B4A" w:rsidRDefault="00197246" w:rsidP="00481E06">
            <w:pPr>
              <w:jc w:val="center"/>
              <w:rPr>
                <w:b/>
                <w:i/>
              </w:rPr>
            </w:pPr>
            <w:r w:rsidRPr="00990654">
              <w:rPr>
                <w:b/>
                <w:u w:val="single"/>
              </w:rPr>
              <w:t>Current</w:t>
            </w:r>
            <w:r w:rsidRPr="00990654">
              <w:rPr>
                <w:b/>
              </w:rPr>
              <w:t xml:space="preserve"> </w:t>
            </w:r>
            <w:r w:rsidR="007A764A">
              <w:rPr>
                <w:b/>
              </w:rPr>
              <w:t>DoDI</w:t>
            </w:r>
          </w:p>
          <w:p w:rsidR="00481E06" w:rsidRPr="00E4489D" w:rsidRDefault="00481E06" w:rsidP="0044550C">
            <w:pPr>
              <w:rPr>
                <w:b/>
                <w:i/>
              </w:rPr>
            </w:pPr>
            <w:r w:rsidRPr="00E4489D">
              <w:rPr>
                <w:b/>
                <w:i/>
              </w:rPr>
              <w:t>The non-</w:t>
            </w:r>
            <w:r w:rsidR="007A764A">
              <w:rPr>
                <w:b/>
                <w:i/>
              </w:rPr>
              <w:t>DoD</w:t>
            </w:r>
            <w:r w:rsidRPr="00E4489D">
              <w:rPr>
                <w:b/>
                <w:i/>
              </w:rPr>
              <w:t xml:space="preserve"> institution must </w:t>
            </w:r>
            <w:r w:rsidRPr="00CA4957">
              <w:rPr>
                <w:b/>
                <w:i/>
                <w:u w:val="single"/>
              </w:rPr>
              <w:t>promptly notify</w:t>
            </w:r>
            <w:r w:rsidRPr="00E4489D">
              <w:rPr>
                <w:b/>
                <w:i/>
              </w:rPr>
              <w:t xml:space="preserve"> the </w:t>
            </w:r>
            <w:r w:rsidR="007A764A">
              <w:rPr>
                <w:b/>
                <w:i/>
              </w:rPr>
              <w:t>OHRO</w:t>
            </w:r>
            <w:r w:rsidRPr="00E4489D">
              <w:rPr>
                <w:b/>
                <w:i/>
              </w:rPr>
              <w:t xml:space="preserve"> of: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:rsidR="00E4489D" w:rsidRDefault="00007C2A" w:rsidP="00E4489D">
            <w:pPr>
              <w:jc w:val="center"/>
              <w:rPr>
                <w:b/>
              </w:rPr>
            </w:pPr>
            <w:r w:rsidRPr="001C6AF9">
              <w:rPr>
                <w:b/>
              </w:rPr>
              <w:t>As Defined/Implemented by the USAMRDC </w:t>
            </w:r>
            <w:r w:rsidR="007A764A">
              <w:rPr>
                <w:b/>
              </w:rPr>
              <w:t>OHARO</w:t>
            </w:r>
            <w:r w:rsidRPr="001C6AF9">
              <w:rPr>
                <w:b/>
              </w:rPr>
              <w:t> </w:t>
            </w:r>
            <w:r w:rsidR="007A764A">
              <w:rPr>
                <w:b/>
              </w:rPr>
              <w:t>OHRO</w:t>
            </w:r>
          </w:p>
          <w:p w:rsidR="00007C2A" w:rsidRPr="00E4489D" w:rsidRDefault="00007C2A" w:rsidP="00E4489D">
            <w:pPr>
              <w:rPr>
                <w:i/>
                <w:sz w:val="22"/>
              </w:rPr>
            </w:pPr>
            <w:r w:rsidRPr="00E4489D">
              <w:rPr>
                <w:b/>
                <w:i/>
              </w:rPr>
              <w:t xml:space="preserve">The following study events must be </w:t>
            </w:r>
            <w:r w:rsidRPr="00551C86">
              <w:rPr>
                <w:b/>
                <w:i/>
                <w:u w:val="single"/>
              </w:rPr>
              <w:t>promptly reported</w:t>
            </w:r>
            <w:r w:rsidRPr="00E4489D">
              <w:rPr>
                <w:b/>
                <w:i/>
              </w:rPr>
              <w:t xml:space="preserve"> to the </w:t>
            </w:r>
            <w:r w:rsidR="007A764A">
              <w:rPr>
                <w:b/>
                <w:i/>
              </w:rPr>
              <w:t>OHRO</w:t>
            </w:r>
            <w:r w:rsidRPr="00E4489D">
              <w:rPr>
                <w:b/>
                <w:i/>
              </w:rPr>
              <w:t>:</w:t>
            </w:r>
          </w:p>
        </w:tc>
      </w:tr>
      <w:tr w:rsidR="00D86AD5" w:rsidRPr="001C6AF9" w:rsidTr="00517E85">
        <w:tc>
          <w:tcPr>
            <w:tcW w:w="4495" w:type="dxa"/>
            <w:vMerge w:val="restart"/>
            <w:shd w:val="clear" w:color="auto" w:fill="auto"/>
          </w:tcPr>
          <w:p w:rsidR="00D86AD5" w:rsidRPr="00C1300B" w:rsidRDefault="00D86AD5" w:rsidP="007A764A">
            <w:pPr>
              <w:rPr>
                <w:b/>
                <w:u w:val="single"/>
              </w:rPr>
            </w:pPr>
            <w:r w:rsidRPr="00C1300B">
              <w:t>The non-</w:t>
            </w:r>
            <w:r w:rsidR="007A764A">
              <w:t>DoD</w:t>
            </w:r>
            <w:r w:rsidRPr="00C1300B">
              <w:t xml:space="preserve"> institution must promptly notify the </w:t>
            </w:r>
            <w:r w:rsidR="007A764A">
              <w:t>HRPO</w:t>
            </w:r>
            <w:r w:rsidRPr="00C1300B">
              <w:t xml:space="preserve"> of the following: . . . when the institution is notified by any Federal department or agency or national organization that any part of its HRPP is under investigation for cause involving a </w:t>
            </w:r>
            <w:r w:rsidR="007A764A">
              <w:t>DoD</w:t>
            </w:r>
            <w:r w:rsidRPr="00C1300B">
              <w:t xml:space="preserve">-supported research protocol, and all UPIRTSOs, suspensions, terminations, and serious or continuing noncompliance regarding </w:t>
            </w:r>
            <w:r w:rsidR="007A764A">
              <w:lastRenderedPageBreak/>
              <w:t>DoD</w:t>
            </w:r>
            <w:r w:rsidRPr="00C1300B">
              <w:t>-supported research involving human subjects.</w:t>
            </w:r>
          </w:p>
        </w:tc>
        <w:tc>
          <w:tcPr>
            <w:tcW w:w="4320" w:type="dxa"/>
            <w:shd w:val="clear" w:color="auto" w:fill="auto"/>
          </w:tcPr>
          <w:p w:rsidR="00D86AD5" w:rsidRPr="00C1300B" w:rsidRDefault="00D86AD5" w:rsidP="00C1300B">
            <w:pPr>
              <w:rPr>
                <w:b/>
                <w:u w:val="single"/>
              </w:rPr>
            </w:pPr>
            <w:r w:rsidRPr="00C1300B">
              <w:lastRenderedPageBreak/>
              <w:t>Notification by any federal body, State agency, official governing body of a Native American or Alaskan native tribe, other entity, or foreign government that the non-</w:t>
            </w:r>
            <w:r w:rsidR="007A764A">
              <w:t>DoD</w:t>
            </w:r>
            <w:r w:rsidRPr="00C1300B">
              <w:t xml:space="preserve"> institution’s </w:t>
            </w:r>
            <w:r w:rsidR="007A764A">
              <w:t>DoD</w:t>
            </w:r>
            <w:r w:rsidRPr="00C1300B">
              <w:t xml:space="preserve">-supported </w:t>
            </w:r>
            <w:r w:rsidR="00CA4957">
              <w:t>human subjects research</w:t>
            </w:r>
            <w:r w:rsidRPr="00C1300B">
              <w:t xml:space="preserve"> is under investigation.</w:t>
            </w:r>
          </w:p>
        </w:tc>
        <w:tc>
          <w:tcPr>
            <w:tcW w:w="5310" w:type="dxa"/>
            <w:shd w:val="clear" w:color="auto" w:fill="auto"/>
          </w:tcPr>
          <w:p w:rsidR="00C1300B" w:rsidRPr="00C1300B" w:rsidRDefault="00C1300B" w:rsidP="00C1300B">
            <w:r w:rsidRPr="00C1300B">
              <w:t>The knowledge of any pending compliance inspection/visit by the Food and Drug Administration (FDA), Office for Human Research Protections, or other government agency concerning this clinical investigation or research.</w:t>
            </w:r>
          </w:p>
          <w:p w:rsidR="00C1300B" w:rsidRPr="00C1300B" w:rsidRDefault="00C1300B" w:rsidP="00C1300B"/>
          <w:p w:rsidR="00D86AD5" w:rsidRPr="00C1300B" w:rsidRDefault="00D86AD5" w:rsidP="00C1300B">
            <w:pPr>
              <w:rPr>
                <w:b/>
              </w:rPr>
            </w:pPr>
            <w:r w:rsidRPr="00C1300B">
              <w:t>The issuance of inspection reports, FDA Form 483, warning letters, or actions taken by any government regulatory agencies.</w:t>
            </w:r>
          </w:p>
        </w:tc>
      </w:tr>
      <w:tr w:rsidR="00D86AD5" w:rsidRPr="001C6AF9" w:rsidTr="00517E85">
        <w:tc>
          <w:tcPr>
            <w:tcW w:w="4495" w:type="dxa"/>
            <w:vMerge/>
            <w:shd w:val="clear" w:color="auto" w:fill="auto"/>
            <w:vAlign w:val="center"/>
          </w:tcPr>
          <w:p w:rsidR="00D86AD5" w:rsidRPr="00C1300B" w:rsidRDefault="00D86AD5" w:rsidP="009906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320" w:type="dxa"/>
            <w:shd w:val="clear" w:color="auto" w:fill="auto"/>
          </w:tcPr>
          <w:p w:rsidR="00D86AD5" w:rsidRPr="00C1300B" w:rsidRDefault="00D86AD5" w:rsidP="00C1300B">
            <w:r w:rsidRPr="00C1300B">
              <w:t xml:space="preserve">Any problems involving risks to subjects or others, suspension or termination of IRB approval, or any serious or continuing noncompliance pertaining to </w:t>
            </w:r>
            <w:r w:rsidR="007A764A">
              <w:t>DoD</w:t>
            </w:r>
            <w:r w:rsidRPr="00C1300B">
              <w:t xml:space="preserve">-supported </w:t>
            </w:r>
            <w:r w:rsidR="00CA4957">
              <w:t>human subjects research</w:t>
            </w:r>
            <w:r w:rsidRPr="00C1300B">
              <w:t>.</w:t>
            </w:r>
          </w:p>
        </w:tc>
        <w:tc>
          <w:tcPr>
            <w:tcW w:w="5310" w:type="dxa"/>
            <w:shd w:val="clear" w:color="auto" w:fill="auto"/>
          </w:tcPr>
          <w:p w:rsidR="00D86AD5" w:rsidRDefault="00C1300B" w:rsidP="00C1300B">
            <w:r w:rsidRPr="00C1300B">
              <w:t>All unanticipated problems involving risk to subjects or others</w:t>
            </w:r>
            <w:r w:rsidR="00265079">
              <w:t xml:space="preserve"> (UPIRTSOs)</w:t>
            </w:r>
            <w:r w:rsidRPr="00C1300B">
              <w:t>.</w:t>
            </w:r>
          </w:p>
          <w:p w:rsidR="00CC37DD" w:rsidRDefault="00CC37DD" w:rsidP="00C1300B"/>
          <w:p w:rsidR="00CC37DD" w:rsidRPr="00C1300B" w:rsidRDefault="00CC37DD" w:rsidP="00C1300B">
            <w:r w:rsidRPr="00CC37DD">
              <w:t>Suspensions, clinical holds (voluntary or involuntary), or terminations of this research by the IRB, the institution, the sponsor, or regulatory agencies.</w:t>
            </w:r>
          </w:p>
          <w:p w:rsidR="00C1300B" w:rsidRPr="00C1300B" w:rsidRDefault="00C1300B" w:rsidP="00C1300B"/>
          <w:p w:rsidR="00C1300B" w:rsidRPr="00C1300B" w:rsidRDefault="00C1300B" w:rsidP="00CC37DD">
            <w:pPr>
              <w:pStyle w:val="PlainText"/>
              <w:rPr>
                <w:rFonts w:cs="Arial"/>
                <w:sz w:val="24"/>
                <w:szCs w:val="24"/>
              </w:rPr>
            </w:pPr>
            <w:r w:rsidRPr="00C1300B">
              <w:rPr>
                <w:sz w:val="24"/>
                <w:szCs w:val="24"/>
              </w:rPr>
              <w:t>Any instances of serious or continuing noncompliance with the federal regulations or IRB requirements.</w:t>
            </w:r>
          </w:p>
        </w:tc>
      </w:tr>
      <w:tr w:rsidR="00D86AD5" w:rsidRPr="001C6AF9" w:rsidTr="00517E85">
        <w:tc>
          <w:tcPr>
            <w:tcW w:w="4495" w:type="dxa"/>
            <w:vMerge/>
            <w:shd w:val="clear" w:color="auto" w:fill="auto"/>
            <w:vAlign w:val="center"/>
          </w:tcPr>
          <w:p w:rsidR="00D86AD5" w:rsidRPr="00C1300B" w:rsidRDefault="00D86AD5" w:rsidP="009906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320" w:type="dxa"/>
            <w:shd w:val="clear" w:color="auto" w:fill="auto"/>
          </w:tcPr>
          <w:p w:rsidR="00D86AD5" w:rsidRPr="00C1300B" w:rsidRDefault="00D86AD5" w:rsidP="00C1300B">
            <w:pPr>
              <w:autoSpaceDE w:val="0"/>
              <w:autoSpaceDN w:val="0"/>
              <w:adjustRightInd w:val="0"/>
            </w:pPr>
            <w:r w:rsidRPr="00C1300B">
              <w:t>Change in status when a previously enrolled human subject becomes a prisoner, and the protocol was not reviewed and approved by the IRB in accordance with Subpart C, Subpart 46 of Title 45, CFR.</w:t>
            </w:r>
          </w:p>
        </w:tc>
        <w:tc>
          <w:tcPr>
            <w:tcW w:w="5310" w:type="dxa"/>
            <w:shd w:val="clear" w:color="auto" w:fill="auto"/>
          </w:tcPr>
          <w:p w:rsidR="00D86AD5" w:rsidRPr="00C1300B" w:rsidRDefault="00C1300B" w:rsidP="00C1300B">
            <w:r w:rsidRPr="00C1300B">
              <w:t xml:space="preserve">Change in subject status when a previously enrolled human subject becomes a prisoner must be promptly reported to the USAMRDC </w:t>
            </w:r>
            <w:r w:rsidR="007A764A">
              <w:t>OHARO</w:t>
            </w:r>
            <w:r w:rsidRPr="00C1300B">
              <w:t xml:space="preserve"> </w:t>
            </w:r>
            <w:r w:rsidR="007A764A">
              <w:t>OHRO</w:t>
            </w:r>
            <w:r w:rsidRPr="00C1300B">
              <w:t>. The report must include actions taken by the institution and the IRB.</w:t>
            </w:r>
          </w:p>
        </w:tc>
      </w:tr>
    </w:tbl>
    <w:p w:rsidR="006F779F" w:rsidRPr="001C6AF9" w:rsidRDefault="006F779F"/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4495"/>
        <w:gridCol w:w="4320"/>
        <w:gridCol w:w="5310"/>
      </w:tblGrid>
      <w:tr w:rsidR="001C6AF9" w:rsidRPr="001C6AF9" w:rsidTr="00517E85">
        <w:trPr>
          <w:cantSplit/>
          <w:tblHeader/>
        </w:trPr>
        <w:tc>
          <w:tcPr>
            <w:tcW w:w="14125" w:type="dxa"/>
            <w:gridSpan w:val="3"/>
            <w:shd w:val="clear" w:color="auto" w:fill="E2EFD9" w:themeFill="accent6" w:themeFillTint="33"/>
            <w:vAlign w:val="center"/>
          </w:tcPr>
          <w:p w:rsidR="00427A45" w:rsidRPr="001C6AF9" w:rsidRDefault="00896257" w:rsidP="00427A45">
            <w:pPr>
              <w:jc w:val="center"/>
              <w:rPr>
                <w:b/>
                <w:i/>
              </w:rPr>
            </w:pPr>
            <w:r w:rsidRPr="001C6AF9">
              <w:rPr>
                <w:b/>
                <w:i/>
              </w:rPr>
              <w:lastRenderedPageBreak/>
              <w:t>Additional Requirements</w:t>
            </w:r>
          </w:p>
        </w:tc>
      </w:tr>
      <w:tr w:rsidR="001C6AF9" w:rsidRPr="001C6AF9" w:rsidTr="00517E85">
        <w:trPr>
          <w:cantSplit/>
          <w:tblHeader/>
        </w:trPr>
        <w:tc>
          <w:tcPr>
            <w:tcW w:w="4495" w:type="dxa"/>
            <w:shd w:val="clear" w:color="auto" w:fill="D9D9D9" w:themeFill="background1" w:themeFillShade="D9"/>
            <w:vAlign w:val="center"/>
          </w:tcPr>
          <w:p w:rsidR="00784041" w:rsidRPr="001C6AF9" w:rsidRDefault="00784041" w:rsidP="00AA7818">
            <w:pPr>
              <w:jc w:val="center"/>
              <w:rPr>
                <w:b/>
              </w:rPr>
            </w:pPr>
            <w:r w:rsidRPr="00AA7818">
              <w:rPr>
                <w:b/>
                <w:u w:val="single"/>
              </w:rPr>
              <w:t>Previous</w:t>
            </w:r>
            <w:r w:rsidRPr="001C6AF9">
              <w:rPr>
                <w:b/>
              </w:rPr>
              <w:t xml:space="preserve"> </w:t>
            </w:r>
            <w:r w:rsidR="007A764A">
              <w:rPr>
                <w:b/>
              </w:rPr>
              <w:t>DoDI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784041" w:rsidRPr="001C6AF9" w:rsidRDefault="00784041" w:rsidP="00784041">
            <w:pPr>
              <w:jc w:val="center"/>
              <w:rPr>
                <w:b/>
              </w:rPr>
            </w:pPr>
            <w:r w:rsidRPr="00AA7818">
              <w:rPr>
                <w:b/>
                <w:u w:val="single"/>
              </w:rPr>
              <w:t>Current</w:t>
            </w:r>
            <w:r w:rsidRPr="001C6AF9">
              <w:rPr>
                <w:b/>
              </w:rPr>
              <w:t xml:space="preserve"> </w:t>
            </w:r>
            <w:r w:rsidR="007A764A">
              <w:rPr>
                <w:b/>
              </w:rPr>
              <w:t>DoDI</w:t>
            </w:r>
          </w:p>
          <w:p w:rsidR="00784041" w:rsidRPr="00684322" w:rsidRDefault="00784041" w:rsidP="00684322">
            <w:pPr>
              <w:rPr>
                <w:b/>
                <w:i/>
              </w:rPr>
            </w:pPr>
            <w:r w:rsidRPr="00684322">
              <w:rPr>
                <w:b/>
                <w:i/>
              </w:rPr>
              <w:t xml:space="preserve">The </w:t>
            </w:r>
            <w:r w:rsidR="00684322">
              <w:rPr>
                <w:b/>
                <w:i/>
              </w:rPr>
              <w:t>n</w:t>
            </w:r>
            <w:r w:rsidRPr="00684322">
              <w:rPr>
                <w:b/>
                <w:i/>
              </w:rPr>
              <w:t>on-</w:t>
            </w:r>
            <w:r w:rsidR="007A764A">
              <w:rPr>
                <w:b/>
                <w:i/>
              </w:rPr>
              <w:t>DoD</w:t>
            </w:r>
            <w:r w:rsidRPr="00684322">
              <w:rPr>
                <w:b/>
                <w:i/>
              </w:rPr>
              <w:t xml:space="preserve"> Institution </w:t>
            </w:r>
            <w:r w:rsidR="00684322">
              <w:rPr>
                <w:b/>
                <w:i/>
              </w:rPr>
              <w:t>m</w:t>
            </w:r>
            <w:r w:rsidRPr="00684322">
              <w:rPr>
                <w:b/>
                <w:i/>
              </w:rPr>
              <w:t xml:space="preserve">ust </w:t>
            </w:r>
            <w:r w:rsidR="00684322">
              <w:rPr>
                <w:b/>
                <w:i/>
              </w:rPr>
              <w:t>a</w:t>
            </w:r>
            <w:r w:rsidRPr="00684322">
              <w:rPr>
                <w:b/>
                <w:i/>
              </w:rPr>
              <w:t>lso: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:rsidR="00784041" w:rsidRPr="001C6AF9" w:rsidRDefault="00784041" w:rsidP="00AA7818">
            <w:pPr>
              <w:jc w:val="center"/>
              <w:rPr>
                <w:b/>
              </w:rPr>
            </w:pPr>
            <w:r w:rsidRPr="001C6AF9">
              <w:rPr>
                <w:b/>
              </w:rPr>
              <w:t>Comments/Clarifications</w:t>
            </w:r>
          </w:p>
        </w:tc>
      </w:tr>
      <w:tr w:rsidR="001C6AF9" w:rsidRPr="001C6AF9" w:rsidTr="00517E85">
        <w:trPr>
          <w:cantSplit/>
        </w:trPr>
        <w:tc>
          <w:tcPr>
            <w:tcW w:w="4495" w:type="dxa"/>
            <w:shd w:val="clear" w:color="auto" w:fill="auto"/>
          </w:tcPr>
          <w:p w:rsidR="00946A68" w:rsidRPr="001C6AF9" w:rsidRDefault="00481E06" w:rsidP="00481E06">
            <w:pPr>
              <w:autoSpaceDE w:val="0"/>
              <w:autoSpaceDN w:val="0"/>
              <w:adjustRightInd w:val="0"/>
            </w:pPr>
            <w:r w:rsidRPr="001C6AF9">
              <w:t>Records maintained by non-</w:t>
            </w:r>
            <w:r w:rsidR="007A764A">
              <w:t>DoD</w:t>
            </w:r>
            <w:r w:rsidRPr="001C6AF9">
              <w:t xml:space="preserve"> institutions that document compliance or noncompliance with [the </w:t>
            </w:r>
            <w:r w:rsidR="007A764A">
              <w:t>DoDI</w:t>
            </w:r>
            <w:r w:rsidRPr="001C6AF9">
              <w:t xml:space="preserve">] shall be made accessible for inspection and copying by authorized representatives of the </w:t>
            </w:r>
            <w:r w:rsidR="007A764A">
              <w:t>DoD</w:t>
            </w:r>
            <w:r w:rsidRPr="001C6AF9">
              <w:t xml:space="preserve"> at reasonable times and in a reasonable manner as determined by the supporting </w:t>
            </w:r>
            <w:r w:rsidR="007A764A">
              <w:t>DoD</w:t>
            </w:r>
            <w:r w:rsidRPr="001C6AF9">
              <w:t xml:space="preserve"> Component.</w:t>
            </w:r>
          </w:p>
        </w:tc>
        <w:tc>
          <w:tcPr>
            <w:tcW w:w="4320" w:type="dxa"/>
            <w:shd w:val="clear" w:color="auto" w:fill="auto"/>
          </w:tcPr>
          <w:p w:rsidR="00946A68" w:rsidRPr="001C6AF9" w:rsidRDefault="00946A68" w:rsidP="00E057BF">
            <w:pPr>
              <w:autoSpaceDE w:val="0"/>
              <w:autoSpaceDN w:val="0"/>
              <w:adjustRightInd w:val="0"/>
            </w:pPr>
            <w:r w:rsidRPr="001C6AF9">
              <w:rPr>
                <w:rFonts w:eastAsiaTheme="minorEastAsia"/>
              </w:rPr>
              <w:t xml:space="preserve">Make records that document compliance or noncompliance with </w:t>
            </w:r>
            <w:r w:rsidR="007A764A">
              <w:rPr>
                <w:rFonts w:eastAsiaTheme="minorEastAsia"/>
              </w:rPr>
              <w:t>DoDI</w:t>
            </w:r>
            <w:r w:rsidRPr="001C6AF9">
              <w:rPr>
                <w:rFonts w:eastAsiaTheme="minorEastAsia"/>
              </w:rPr>
              <w:t xml:space="preserve"> 3216.02 accessible for inspection and copying, as determined by </w:t>
            </w:r>
            <w:r w:rsidR="007A764A">
              <w:rPr>
                <w:rFonts w:eastAsiaTheme="minorEastAsia"/>
              </w:rPr>
              <w:t>DoD</w:t>
            </w:r>
            <w:r w:rsidRPr="001C6AF9">
              <w:rPr>
                <w:rFonts w:eastAsiaTheme="minorEastAsia"/>
              </w:rPr>
              <w:t xml:space="preserve"> HRPP personnel, by authorized </w:t>
            </w:r>
            <w:r w:rsidR="007A764A">
              <w:rPr>
                <w:rFonts w:eastAsiaTheme="minorEastAsia"/>
              </w:rPr>
              <w:t>DoD</w:t>
            </w:r>
            <w:r w:rsidRPr="001C6AF9">
              <w:rPr>
                <w:rFonts w:eastAsiaTheme="minorEastAsia"/>
              </w:rPr>
              <w:t xml:space="preserve"> representatives.</w:t>
            </w:r>
          </w:p>
        </w:tc>
        <w:tc>
          <w:tcPr>
            <w:tcW w:w="5310" w:type="dxa"/>
            <w:shd w:val="clear" w:color="auto" w:fill="auto"/>
          </w:tcPr>
          <w:p w:rsidR="00684322" w:rsidRDefault="00684322">
            <w:r>
              <w:t>Essentially u</w:t>
            </w:r>
            <w:r w:rsidR="000B5DBD">
              <w:t xml:space="preserve">nchanged from previous </w:t>
            </w:r>
            <w:r w:rsidR="007A764A">
              <w:t>DoDI</w:t>
            </w:r>
            <w:r w:rsidR="000B5DBD">
              <w:t>.</w:t>
            </w:r>
          </w:p>
          <w:p w:rsidR="00684322" w:rsidRDefault="00684322"/>
          <w:p w:rsidR="00684322" w:rsidRDefault="00684322">
            <w:r>
              <w:t xml:space="preserve">The </w:t>
            </w:r>
            <w:r w:rsidR="007A764A">
              <w:t>OHARO</w:t>
            </w:r>
            <w:r>
              <w:t xml:space="preserve"> </w:t>
            </w:r>
            <w:r w:rsidR="007A764A">
              <w:t>OHRO</w:t>
            </w:r>
            <w:r>
              <w:t xml:space="preserve"> may conduct random or for-cause </w:t>
            </w:r>
            <w:r w:rsidR="00551C86">
              <w:t xml:space="preserve">audits or </w:t>
            </w:r>
            <w:r>
              <w:t>site visits and require access to records.</w:t>
            </w:r>
          </w:p>
          <w:p w:rsidR="00684322" w:rsidRDefault="00684322"/>
          <w:p w:rsidR="00946A68" w:rsidRPr="001C6AF9" w:rsidRDefault="00684322">
            <w:r>
              <w:t xml:space="preserve">This </w:t>
            </w:r>
            <w:r w:rsidR="007A764A">
              <w:t>DoDI</w:t>
            </w:r>
            <w:r>
              <w:t xml:space="preserve"> requirement is the basis for requiring information in the informed consent document to inform subjects that the </w:t>
            </w:r>
            <w:r w:rsidR="007A764A">
              <w:t>DoD</w:t>
            </w:r>
            <w:r>
              <w:t xml:space="preserve"> may have access to identifiable records.</w:t>
            </w:r>
          </w:p>
        </w:tc>
      </w:tr>
      <w:tr w:rsidR="001C6AF9" w:rsidRPr="001C6AF9" w:rsidTr="00517E85">
        <w:tc>
          <w:tcPr>
            <w:tcW w:w="4495" w:type="dxa"/>
          </w:tcPr>
          <w:p w:rsidR="00946A68" w:rsidRPr="001C6AF9" w:rsidRDefault="00E93F97" w:rsidP="00517E85">
            <w:pPr>
              <w:autoSpaceDE w:val="0"/>
              <w:autoSpaceDN w:val="0"/>
              <w:adjustRightInd w:val="0"/>
            </w:pPr>
            <w:r w:rsidRPr="00E93F97">
              <w:t>The non-</w:t>
            </w:r>
            <w:r w:rsidR="007A764A">
              <w:t>DoD</w:t>
            </w:r>
            <w:r w:rsidRPr="00E93F97">
              <w:t xml:space="preserve"> institution shall comply with the terms of the DFARS clause or comparable language used in the agreement with the </w:t>
            </w:r>
            <w:r w:rsidR="007A764A">
              <w:t>DoD</w:t>
            </w:r>
            <w:r w:rsidRPr="00E93F97">
              <w:t xml:space="preserve"> Component supporting the re</w:t>
            </w:r>
            <w:r>
              <w:t>search involving</w:t>
            </w:r>
            <w:r w:rsidR="00517E85">
              <w:t xml:space="preserve"> </w:t>
            </w:r>
            <w:r>
              <w:t>human subjects . . .</w:t>
            </w:r>
          </w:p>
        </w:tc>
        <w:tc>
          <w:tcPr>
            <w:tcW w:w="4320" w:type="dxa"/>
          </w:tcPr>
          <w:p w:rsidR="00481E06" w:rsidRPr="001C6AF9" w:rsidRDefault="00481E06" w:rsidP="00481E06">
            <w:pPr>
              <w:autoSpaceDE w:val="0"/>
              <w:autoSpaceDN w:val="0"/>
              <w:adjustRightInd w:val="0"/>
            </w:pPr>
            <w:r w:rsidRPr="001C6AF9">
              <w:t xml:space="preserve">Recognize that failure to comply with applicable requirements may result in the </w:t>
            </w:r>
            <w:r w:rsidR="007A764A">
              <w:t>DoD</w:t>
            </w:r>
            <w:r w:rsidRPr="001C6AF9">
              <w:t>:</w:t>
            </w:r>
          </w:p>
          <w:p w:rsidR="00481E06" w:rsidRPr="001C6AF9" w:rsidRDefault="00481E06" w:rsidP="00481E06">
            <w:pPr>
              <w:autoSpaceDE w:val="0"/>
              <w:autoSpaceDN w:val="0"/>
              <w:adjustRightInd w:val="0"/>
            </w:pPr>
            <w:r w:rsidRPr="001C6AF9">
              <w:t>a. Wholly or partially terminating or suspending the award;</w:t>
            </w:r>
          </w:p>
          <w:p w:rsidR="00946A68" w:rsidRPr="001C6AF9" w:rsidRDefault="00481E06" w:rsidP="00481E06">
            <w:pPr>
              <w:autoSpaceDE w:val="0"/>
              <w:autoSpaceDN w:val="0"/>
              <w:adjustRightInd w:val="0"/>
            </w:pPr>
            <w:r w:rsidRPr="001C6AF9">
              <w:t>b. Temporarily withholding payment under the award pending correction of the deficiency;</w:t>
            </w:r>
          </w:p>
          <w:p w:rsidR="00946A68" w:rsidRPr="001C6AF9" w:rsidRDefault="00946A68" w:rsidP="002D0B12">
            <w:pPr>
              <w:autoSpaceDE w:val="0"/>
              <w:autoSpaceDN w:val="0"/>
              <w:adjustRightInd w:val="0"/>
            </w:pPr>
            <w:r w:rsidRPr="001C6AF9">
              <w:t>c. Disallowing all or part of the cost of the activity or action that is not in compliance; and/or</w:t>
            </w:r>
          </w:p>
          <w:p w:rsidR="00946A68" w:rsidRPr="001C6AF9" w:rsidRDefault="00946A68" w:rsidP="002D0B12">
            <w:r w:rsidRPr="001C6AF9">
              <w:t xml:space="preserve">d. Contacting publishers of articles that reference the noncompliant </w:t>
            </w:r>
            <w:r w:rsidR="00CA4957">
              <w:t>human subjects research</w:t>
            </w:r>
            <w:r w:rsidRPr="001C6AF9">
              <w:t>.</w:t>
            </w:r>
          </w:p>
        </w:tc>
        <w:tc>
          <w:tcPr>
            <w:tcW w:w="5310" w:type="dxa"/>
          </w:tcPr>
          <w:p w:rsidR="00946A68" w:rsidRPr="001C6AF9" w:rsidRDefault="006F2705" w:rsidP="00AA7818">
            <w:r>
              <w:t>See acquisition regulations</w:t>
            </w:r>
            <w:r w:rsidR="00AA7818">
              <w:t xml:space="preserve"> (DFARS </w:t>
            </w:r>
            <w:r w:rsidR="00AA7818" w:rsidRPr="00AA7818">
              <w:t>clause 252.235-7004</w:t>
            </w:r>
            <w:r w:rsidR="00AA7818">
              <w:t>)</w:t>
            </w:r>
            <w:r>
              <w:t xml:space="preserve"> </w:t>
            </w:r>
            <w:r w:rsidR="00AA7818">
              <w:t>and terms of award</w:t>
            </w:r>
          </w:p>
        </w:tc>
      </w:tr>
      <w:tr w:rsidR="001C6AF9" w:rsidRPr="001C6AF9" w:rsidTr="00517E85">
        <w:tc>
          <w:tcPr>
            <w:tcW w:w="4495" w:type="dxa"/>
            <w:shd w:val="clear" w:color="auto" w:fill="auto"/>
          </w:tcPr>
          <w:p w:rsidR="00784041" w:rsidRPr="001C6AF9" w:rsidRDefault="00784041" w:rsidP="006F2705">
            <w:pPr>
              <w:autoSpaceDE w:val="0"/>
              <w:autoSpaceDN w:val="0"/>
              <w:adjustRightInd w:val="0"/>
            </w:pPr>
            <w:r w:rsidRPr="001C6AF9">
              <w:t>Non-</w:t>
            </w:r>
            <w:r w:rsidR="007A764A">
              <w:t>DoD</w:t>
            </w:r>
            <w:r w:rsidRPr="001C6AF9">
              <w:t xml:space="preserve"> institutions shall comply with requirements of this </w:t>
            </w:r>
            <w:r w:rsidR="006F2705">
              <w:t>Instruction applicable to them.</w:t>
            </w:r>
          </w:p>
        </w:tc>
        <w:tc>
          <w:tcPr>
            <w:tcW w:w="4320" w:type="dxa"/>
            <w:shd w:val="clear" w:color="auto" w:fill="auto"/>
          </w:tcPr>
          <w:p w:rsidR="00784041" w:rsidRPr="001C6AF9" w:rsidRDefault="00784041" w:rsidP="00784041">
            <w:pPr>
              <w:autoSpaceDE w:val="0"/>
              <w:autoSpaceDN w:val="0"/>
              <w:adjustRightInd w:val="0"/>
            </w:pPr>
            <w:r w:rsidRPr="001C6AF9">
              <w:t xml:space="preserve">Recognize that </w:t>
            </w:r>
            <w:r w:rsidR="007A764A">
              <w:t>DoD</w:t>
            </w:r>
            <w:r w:rsidRPr="001C6AF9">
              <w:t xml:space="preserve">-supported research should comply with the whole of </w:t>
            </w:r>
            <w:r w:rsidR="007A764A">
              <w:t>DoDI</w:t>
            </w:r>
            <w:r w:rsidRPr="001C6AF9">
              <w:t xml:space="preserve"> 3216.02 when applicable.</w:t>
            </w:r>
          </w:p>
        </w:tc>
        <w:tc>
          <w:tcPr>
            <w:tcW w:w="5310" w:type="dxa"/>
            <w:shd w:val="clear" w:color="auto" w:fill="auto"/>
          </w:tcPr>
          <w:p w:rsidR="00784041" w:rsidRPr="001C6AF9" w:rsidRDefault="00784041" w:rsidP="00784041"/>
        </w:tc>
      </w:tr>
      <w:tr w:rsidR="000B5DBD" w:rsidRPr="001C6AF9" w:rsidTr="00517E85">
        <w:tc>
          <w:tcPr>
            <w:tcW w:w="4495" w:type="dxa"/>
          </w:tcPr>
          <w:p w:rsidR="000B5DBD" w:rsidRPr="001C6AF9" w:rsidRDefault="00684322" w:rsidP="00784041">
            <w:r>
              <w:t>No comparable requirement.</w:t>
            </w:r>
          </w:p>
        </w:tc>
        <w:tc>
          <w:tcPr>
            <w:tcW w:w="4320" w:type="dxa"/>
          </w:tcPr>
          <w:p w:rsidR="000B5DBD" w:rsidRPr="001C6AF9" w:rsidRDefault="00684322" w:rsidP="007A764A">
            <w:pPr>
              <w:pStyle w:val="PlainText"/>
            </w:pPr>
            <w:r>
              <w:rPr>
                <w:rFonts w:cs="Arial"/>
                <w:sz w:val="24"/>
                <w:szCs w:val="24"/>
              </w:rPr>
              <w:t xml:space="preserve">Promptly notify the </w:t>
            </w:r>
            <w:r w:rsidR="007A764A">
              <w:rPr>
                <w:rFonts w:cs="Arial"/>
                <w:sz w:val="24"/>
                <w:szCs w:val="24"/>
              </w:rPr>
              <w:t>HRPO</w:t>
            </w:r>
            <w:r>
              <w:rPr>
                <w:rFonts w:cs="Arial"/>
                <w:sz w:val="24"/>
                <w:szCs w:val="24"/>
              </w:rPr>
              <w:t xml:space="preserve"> of </w:t>
            </w:r>
            <w:r w:rsidRPr="00684322">
              <w:rPr>
                <w:rFonts w:cs="Arial"/>
                <w:sz w:val="24"/>
                <w:szCs w:val="24"/>
              </w:rPr>
              <w:t>c</w:t>
            </w:r>
            <w:r w:rsidR="000B5DBD" w:rsidRPr="00684322">
              <w:rPr>
                <w:rFonts w:cs="Arial"/>
                <w:sz w:val="24"/>
                <w:szCs w:val="24"/>
              </w:rPr>
              <w:t xml:space="preserve">hange in status when a previously enrolled human subject becomes pregnant, or when the researcher learns that a previously enrolled human subject is </w:t>
            </w:r>
            <w:r w:rsidR="000B5DBD" w:rsidRPr="00684322">
              <w:rPr>
                <w:rFonts w:cs="Arial"/>
                <w:sz w:val="24"/>
                <w:szCs w:val="24"/>
              </w:rPr>
              <w:lastRenderedPageBreak/>
              <w:t>pregnant, and the protocol was not reviewed and approved by the IRB in accordance with Subpart B, Subpart 46 of Title 45, CFR.</w:t>
            </w:r>
          </w:p>
        </w:tc>
        <w:tc>
          <w:tcPr>
            <w:tcW w:w="5310" w:type="dxa"/>
          </w:tcPr>
          <w:p w:rsidR="000B5DBD" w:rsidRPr="001C6AF9" w:rsidRDefault="00265079" w:rsidP="00265079">
            <w:r>
              <w:lastRenderedPageBreak/>
              <w:t xml:space="preserve">The </w:t>
            </w:r>
            <w:r w:rsidR="007A764A">
              <w:t>OHARO</w:t>
            </w:r>
            <w:r>
              <w:t xml:space="preserve"> </w:t>
            </w:r>
            <w:r w:rsidR="007A764A">
              <w:t>OHRO</w:t>
            </w:r>
            <w:r>
              <w:t xml:space="preserve"> implements this element by requiring the prompt reporting of all UPIRTSOs. Only on-study pregnancies that also constitute a UPIRTSO </w:t>
            </w:r>
            <w:r w:rsidR="00877D30">
              <w:t xml:space="preserve">(as determined by </w:t>
            </w:r>
            <w:r w:rsidR="00877D30">
              <w:lastRenderedPageBreak/>
              <w:t xml:space="preserve">the reviewing IRB) </w:t>
            </w:r>
            <w:r>
              <w:t xml:space="preserve">require prompt reporting to the </w:t>
            </w:r>
            <w:r w:rsidR="007A764A">
              <w:t>OHARO</w:t>
            </w:r>
            <w:r>
              <w:t> </w:t>
            </w:r>
            <w:r w:rsidR="007A764A">
              <w:t>OHRO</w:t>
            </w:r>
            <w:r>
              <w:t>.</w:t>
            </w:r>
          </w:p>
        </w:tc>
      </w:tr>
    </w:tbl>
    <w:p w:rsidR="00F67A61" w:rsidRPr="001C6AF9" w:rsidRDefault="00F67A61" w:rsidP="00F67A61"/>
    <w:p w:rsidR="00F67A61" w:rsidRPr="001C6AF9" w:rsidRDefault="006668A3" w:rsidP="00F67A61">
      <w:pPr>
        <w:rPr>
          <w:b/>
        </w:rPr>
      </w:pPr>
      <w:r w:rsidRPr="001C6AF9">
        <w:rPr>
          <w:b/>
        </w:rPr>
        <w:t>Also n</w:t>
      </w:r>
      <w:r w:rsidR="00F67A61" w:rsidRPr="001C6AF9">
        <w:rPr>
          <w:b/>
        </w:rPr>
        <w:t>ew with</w:t>
      </w:r>
      <w:r w:rsidR="0011241C" w:rsidRPr="001C6AF9">
        <w:rPr>
          <w:b/>
        </w:rPr>
        <w:t xml:space="preserve"> the April 2020</w:t>
      </w:r>
      <w:r w:rsidR="00F67A61" w:rsidRPr="001C6AF9">
        <w:rPr>
          <w:b/>
        </w:rPr>
        <w:t xml:space="preserve"> version:</w:t>
      </w:r>
    </w:p>
    <w:p w:rsidR="00792EA4" w:rsidRPr="001C6AF9" w:rsidRDefault="00792EA4"/>
    <w:p w:rsidR="00F67A61" w:rsidRPr="001C6AF9" w:rsidRDefault="00EA32CB" w:rsidP="00A2510F">
      <w:pPr>
        <w:pStyle w:val="ListParagraph"/>
        <w:numPr>
          <w:ilvl w:val="0"/>
          <w:numId w:val="1"/>
        </w:numPr>
      </w:pPr>
      <w:r w:rsidRPr="00EA32CB">
        <w:rPr>
          <w:b/>
        </w:rPr>
        <w:t xml:space="preserve">Research Monitor.  </w:t>
      </w:r>
      <w:r w:rsidR="00F67A61" w:rsidRPr="001C6AF9">
        <w:t xml:space="preserve">The prior </w:t>
      </w:r>
      <w:r w:rsidR="007A764A">
        <w:t>DoDI</w:t>
      </w:r>
      <w:r w:rsidR="00F67A61" w:rsidRPr="001C6AF9">
        <w:t xml:space="preserve"> 3216.02 required that Institutional Review Boards (IRB) approve an independent Research Monitor with specific roles and responsibilities for all greater than minimal risk studies supported by the </w:t>
      </w:r>
      <w:r w:rsidR="007A764A">
        <w:t>DoD</w:t>
      </w:r>
      <w:r w:rsidR="00F67A61" w:rsidRPr="001C6AF9">
        <w:t xml:space="preserve">.  The revised </w:t>
      </w:r>
      <w:r w:rsidR="007A764A">
        <w:t>DoDI</w:t>
      </w:r>
      <w:r w:rsidR="00F67A61" w:rsidRPr="001C6AF9">
        <w:t xml:space="preserve"> no longer includes this requirement.</w:t>
      </w:r>
    </w:p>
    <w:p w:rsidR="00F67A61" w:rsidRPr="001C6AF9" w:rsidRDefault="00F67A61"/>
    <w:p w:rsidR="00F67A61" w:rsidRPr="001C6AF9" w:rsidRDefault="007A764A" w:rsidP="007A764A">
      <w:pPr>
        <w:pStyle w:val="ListParagraph"/>
        <w:numPr>
          <w:ilvl w:val="0"/>
          <w:numId w:val="3"/>
        </w:numPr>
      </w:pPr>
      <w:r>
        <w:rPr>
          <w:b/>
        </w:rPr>
        <w:t>DoD</w:t>
      </w:r>
      <w:r w:rsidR="00EA32CB" w:rsidRPr="00EA32CB">
        <w:rPr>
          <w:b/>
        </w:rPr>
        <w:t xml:space="preserve"> </w:t>
      </w:r>
      <w:r w:rsidR="00265079">
        <w:rPr>
          <w:b/>
        </w:rPr>
        <w:t xml:space="preserve">IRB review </w:t>
      </w:r>
      <w:r w:rsidR="00EA32CB" w:rsidRPr="00EA32CB">
        <w:rPr>
          <w:b/>
        </w:rPr>
        <w:t xml:space="preserve">in lieu of </w:t>
      </w:r>
      <w:r>
        <w:rPr>
          <w:b/>
        </w:rPr>
        <w:t>HRPO</w:t>
      </w:r>
      <w:r w:rsidR="00EA32CB" w:rsidRPr="00EA32CB">
        <w:rPr>
          <w:b/>
        </w:rPr>
        <w:t>.</w:t>
      </w:r>
      <w:r w:rsidR="00EA32CB">
        <w:t xml:space="preserve"> </w:t>
      </w:r>
      <w:r w:rsidR="00265079">
        <w:t xml:space="preserve"> </w:t>
      </w:r>
      <w:r w:rsidR="00F67A61" w:rsidRPr="001C6AF9">
        <w:t xml:space="preserve">When a </w:t>
      </w:r>
      <w:r>
        <w:t>DoD</w:t>
      </w:r>
      <w:r w:rsidR="00F67A61" w:rsidRPr="001C6AF9">
        <w:t xml:space="preserve"> IRB serves as the reviewing IRB</w:t>
      </w:r>
      <w:r w:rsidR="000E0C6F">
        <w:t xml:space="preserve"> for a non-</w:t>
      </w:r>
      <w:r>
        <w:t>DoD</w:t>
      </w:r>
      <w:r w:rsidR="000E0C6F">
        <w:t xml:space="preserve"> institution</w:t>
      </w:r>
      <w:r w:rsidR="00F67A61" w:rsidRPr="001C6AF9">
        <w:t xml:space="preserve">, the </w:t>
      </w:r>
      <w:r>
        <w:t>DoD</w:t>
      </w:r>
      <w:r w:rsidR="00F67A61" w:rsidRPr="001C6AF9">
        <w:t xml:space="preserve"> IRB approval will constitute the </w:t>
      </w:r>
      <w:r>
        <w:t>HRPO</w:t>
      </w:r>
      <w:r w:rsidR="00F67A61" w:rsidRPr="001C6AF9">
        <w:t xml:space="preserve"> review; an additional </w:t>
      </w:r>
      <w:r>
        <w:t>HRPO</w:t>
      </w:r>
      <w:r w:rsidR="00F67A61" w:rsidRPr="001C6AF9">
        <w:t xml:space="preserve"> review is not required.</w:t>
      </w:r>
      <w:r w:rsidR="006668A3" w:rsidRPr="001C6AF9">
        <w:t xml:space="preserve">  </w:t>
      </w:r>
      <w:r w:rsidR="00A2510F" w:rsidRPr="001C6AF9">
        <w:t>USAMRDC-supported non-</w:t>
      </w:r>
      <w:r>
        <w:t>DoD</w:t>
      </w:r>
      <w:r w:rsidR="00A2510F" w:rsidRPr="001C6AF9">
        <w:t xml:space="preserve"> institutions that rely on a </w:t>
      </w:r>
      <w:r>
        <w:t>DoD</w:t>
      </w:r>
      <w:r w:rsidR="00A2510F" w:rsidRPr="001C6AF9">
        <w:t xml:space="preserve"> IRB for review must still provide </w:t>
      </w:r>
      <w:r w:rsidR="0044550C" w:rsidRPr="001C6AF9">
        <w:t xml:space="preserve">certain </w:t>
      </w:r>
      <w:r w:rsidR="00A2510F" w:rsidRPr="001C6AF9">
        <w:t xml:space="preserve">materials to the </w:t>
      </w:r>
      <w:r>
        <w:t>OHARO</w:t>
      </w:r>
      <w:r w:rsidR="00A2510F" w:rsidRPr="001C6AF9">
        <w:t xml:space="preserve"> </w:t>
      </w:r>
      <w:r>
        <w:t>OHRO</w:t>
      </w:r>
      <w:r w:rsidR="00A2510F" w:rsidRPr="001C6AF9">
        <w:t xml:space="preserve"> for review and issuance of a written approval, in accordance with the support agreement.  </w:t>
      </w:r>
      <w:r w:rsidR="006668A3" w:rsidRPr="001C6AF9">
        <w:t xml:space="preserve">The </w:t>
      </w:r>
      <w:r>
        <w:t>OHARO</w:t>
      </w:r>
      <w:r w:rsidR="006668A3" w:rsidRPr="001C6AF9">
        <w:t xml:space="preserve"> </w:t>
      </w:r>
      <w:r>
        <w:t>OHRO</w:t>
      </w:r>
      <w:r w:rsidR="006668A3" w:rsidRPr="001C6AF9">
        <w:t xml:space="preserve"> has developed </w:t>
      </w:r>
      <w:r w:rsidR="00A2510F" w:rsidRPr="001C6AF9">
        <w:t>a specific submission form for use by non-</w:t>
      </w:r>
      <w:r>
        <w:t>DoD</w:t>
      </w:r>
      <w:r w:rsidR="00A2510F" w:rsidRPr="001C6AF9">
        <w:t xml:space="preserve"> institutions</w:t>
      </w:r>
      <w:r w:rsidR="00176D90" w:rsidRPr="001C6AF9">
        <w:t xml:space="preserve"> that rely on a </w:t>
      </w:r>
      <w:r>
        <w:t>DoD</w:t>
      </w:r>
      <w:r w:rsidR="00176D90" w:rsidRPr="001C6AF9">
        <w:t xml:space="preserve"> IRB</w:t>
      </w:r>
      <w:r w:rsidR="00A2510F" w:rsidRPr="001C6AF9">
        <w:t xml:space="preserve">, available at the </w:t>
      </w:r>
      <w:r>
        <w:t>OHRO</w:t>
      </w:r>
      <w:r w:rsidR="00A2510F" w:rsidRPr="001C6AF9">
        <w:t xml:space="preserve"> website:  </w:t>
      </w:r>
      <w:r w:rsidRPr="007A764A">
        <w:t>https://mrdc.health.mil/index.cfm/collaborate/research_protections/hrpo</w:t>
      </w:r>
    </w:p>
    <w:p w:rsidR="003C3888" w:rsidRPr="001C6AF9" w:rsidRDefault="003C3888" w:rsidP="003C3888"/>
    <w:p w:rsidR="003C3888" w:rsidRPr="001C6AF9" w:rsidRDefault="00EA32CB" w:rsidP="002F3144">
      <w:pPr>
        <w:pStyle w:val="ListParagraph"/>
        <w:numPr>
          <w:ilvl w:val="0"/>
          <w:numId w:val="3"/>
        </w:numPr>
      </w:pPr>
      <w:r w:rsidRPr="00EA32CB">
        <w:rPr>
          <w:b/>
        </w:rPr>
        <w:t>Large Scale Genomic Data</w:t>
      </w:r>
      <w:r>
        <w:rPr>
          <w:b/>
        </w:rPr>
        <w:t>.</w:t>
      </w:r>
      <w:r w:rsidRPr="001C6AF9">
        <w:t xml:space="preserve"> </w:t>
      </w:r>
      <w:r w:rsidR="003C3888" w:rsidRPr="001C6AF9">
        <w:t xml:space="preserve">Additional reviews (i.e., </w:t>
      </w:r>
      <w:r w:rsidR="007A764A">
        <w:t>DoD</w:t>
      </w:r>
      <w:r w:rsidR="003C3888" w:rsidRPr="001C6AF9">
        <w:t xml:space="preserve"> administrative and </w:t>
      </w:r>
      <w:r w:rsidR="007A764A">
        <w:t>DoD</w:t>
      </w:r>
      <w:r w:rsidR="003C3888" w:rsidRPr="001C6AF9">
        <w:t xml:space="preserve"> Component security reviews) must be conducted before research involving large scale genomic data collected from </w:t>
      </w:r>
      <w:r w:rsidR="007A764A">
        <w:t>DoD</w:t>
      </w:r>
      <w:r w:rsidR="003C3888" w:rsidRPr="001C6AF9">
        <w:t>-affiliated personnel may begin.</w:t>
      </w:r>
    </w:p>
    <w:sectPr w:rsidR="003C3888" w:rsidRPr="001C6AF9" w:rsidSect="000E0C6F">
      <w:footerReference w:type="default" r:id="rId7"/>
      <w:headerReference w:type="firs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6DB" w:rsidRDefault="004E56DB" w:rsidP="00E7169C">
      <w:r>
        <w:separator/>
      </w:r>
    </w:p>
  </w:endnote>
  <w:endnote w:type="continuationSeparator" w:id="0">
    <w:p w:rsidR="004E56DB" w:rsidRDefault="004E56DB" w:rsidP="00E7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7119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002D" w:rsidRDefault="00792EA4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8C6">
          <w:rPr>
            <w:noProof/>
          </w:rPr>
          <w:t>7</w:t>
        </w:r>
        <w:r>
          <w:rPr>
            <w:noProof/>
          </w:rPr>
          <w:fldChar w:fldCharType="end"/>
        </w:r>
      </w:p>
      <w:p w:rsidR="00792EA4" w:rsidRDefault="007A764A" w:rsidP="00F1002D">
        <w:pPr>
          <w:pStyle w:val="Footer"/>
        </w:pPr>
        <w:r>
          <w:rPr>
            <w:noProof/>
            <w:sz w:val="16"/>
            <w:szCs w:val="16"/>
          </w:rPr>
          <w:t>7</w:t>
        </w:r>
        <w:r w:rsidR="00541054">
          <w:rPr>
            <w:noProof/>
            <w:sz w:val="16"/>
            <w:szCs w:val="16"/>
          </w:rPr>
          <w:t>NOV</w:t>
        </w:r>
        <w:r w:rsidR="00F1002D" w:rsidRPr="00F1002D">
          <w:rPr>
            <w:noProof/>
            <w:sz w:val="16"/>
            <w:szCs w:val="16"/>
          </w:rPr>
          <w:t>20</w:t>
        </w:r>
        <w:r>
          <w:rPr>
            <w:noProof/>
            <w:sz w:val="16"/>
            <w:szCs w:val="16"/>
          </w:rPr>
          <w:t>22</w:t>
        </w:r>
      </w:p>
    </w:sdtContent>
  </w:sdt>
  <w:p w:rsidR="00792EA4" w:rsidRPr="00792EA4" w:rsidRDefault="00792EA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6DB" w:rsidRDefault="004E56DB" w:rsidP="00E7169C">
      <w:r>
        <w:separator/>
      </w:r>
    </w:p>
  </w:footnote>
  <w:footnote w:type="continuationSeparator" w:id="0">
    <w:p w:rsidR="004E56DB" w:rsidRDefault="004E56DB" w:rsidP="00E71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64A" w:rsidRDefault="007F1D35" w:rsidP="007F1D35">
    <w:pPr>
      <w:pStyle w:val="Header"/>
      <w:jc w:val="center"/>
      <w:rPr>
        <w:b/>
      </w:rPr>
    </w:pPr>
    <w:r w:rsidRPr="00552E0B">
      <w:rPr>
        <w:b/>
      </w:rPr>
      <w:t>U</w:t>
    </w:r>
    <w:r>
      <w:rPr>
        <w:b/>
      </w:rPr>
      <w:t>.</w:t>
    </w:r>
    <w:r w:rsidRPr="00552E0B">
      <w:rPr>
        <w:b/>
      </w:rPr>
      <w:t>S</w:t>
    </w:r>
    <w:r>
      <w:rPr>
        <w:b/>
      </w:rPr>
      <w:t>.</w:t>
    </w:r>
    <w:r w:rsidRPr="00552E0B">
      <w:rPr>
        <w:b/>
      </w:rPr>
      <w:t xml:space="preserve"> Army Medical Research and </w:t>
    </w:r>
    <w:r>
      <w:rPr>
        <w:b/>
      </w:rPr>
      <w:t>Development</w:t>
    </w:r>
    <w:r w:rsidRPr="00552E0B">
      <w:rPr>
        <w:b/>
      </w:rPr>
      <w:t xml:space="preserve"> Command</w:t>
    </w:r>
    <w:r w:rsidRPr="00552E0B">
      <w:rPr>
        <w:b/>
      </w:rPr>
      <w:br/>
    </w:r>
    <w:r w:rsidR="007A764A">
      <w:rPr>
        <w:b/>
      </w:rPr>
      <w:t>Office of Human and Animal Research Oversight</w:t>
    </w:r>
  </w:p>
  <w:p w:rsidR="007F1D35" w:rsidRDefault="007A764A" w:rsidP="007F1D35">
    <w:pPr>
      <w:pStyle w:val="Header"/>
      <w:jc w:val="center"/>
      <w:rPr>
        <w:b/>
      </w:rPr>
    </w:pPr>
    <w:r>
      <w:rPr>
        <w:b/>
      </w:rPr>
      <w:t>Office of Human Research Oversight</w:t>
    </w:r>
  </w:p>
  <w:p w:rsidR="007F1D35" w:rsidRDefault="007F1D35" w:rsidP="007F1D35">
    <w:pPr>
      <w:pStyle w:val="Header"/>
      <w:jc w:val="center"/>
      <w:rPr>
        <w:b/>
      </w:rPr>
    </w:pPr>
  </w:p>
  <w:p w:rsidR="003F15BA" w:rsidRDefault="007A764A" w:rsidP="007F1D35">
    <w:pPr>
      <w:pStyle w:val="Header"/>
      <w:jc w:val="center"/>
      <w:rPr>
        <w:b/>
      </w:rPr>
    </w:pPr>
    <w:r>
      <w:rPr>
        <w:b/>
      </w:rPr>
      <w:t>DoD</w:t>
    </w:r>
    <w:r w:rsidR="007F1D35">
      <w:rPr>
        <w:b/>
      </w:rPr>
      <w:t xml:space="preserve"> Instruction (</w:t>
    </w:r>
    <w:r>
      <w:rPr>
        <w:b/>
      </w:rPr>
      <w:t>DoDI</w:t>
    </w:r>
    <w:r w:rsidR="007F1D35">
      <w:rPr>
        <w:b/>
      </w:rPr>
      <w:t>) 3216.02, “</w:t>
    </w:r>
    <w:r w:rsidR="007F1D35" w:rsidRPr="00D37443">
      <w:rPr>
        <w:b/>
      </w:rPr>
      <w:t>Protection of Human Subjects and Adherence to Ethical Standards in DoD-Conducted and -</w:t>
    </w:r>
    <w:r w:rsidR="00517E85">
      <w:rPr>
        <w:b/>
      </w:rPr>
      <w:t> </w:t>
    </w:r>
    <w:r w:rsidR="007F1D35" w:rsidRPr="00D37443">
      <w:rPr>
        <w:b/>
      </w:rPr>
      <w:t>Supported Research,</w:t>
    </w:r>
    <w:r w:rsidR="007F1D35">
      <w:rPr>
        <w:b/>
      </w:rPr>
      <w:t>”</w:t>
    </w:r>
    <w:r w:rsidR="007F1D35" w:rsidRPr="00D37443">
      <w:rPr>
        <w:b/>
      </w:rPr>
      <w:t xml:space="preserve"> </w:t>
    </w:r>
    <w:r w:rsidR="003F15BA">
      <w:rPr>
        <w:b/>
      </w:rPr>
      <w:t xml:space="preserve">Issued </w:t>
    </w:r>
    <w:r w:rsidR="007F1D35" w:rsidRPr="00D37443">
      <w:rPr>
        <w:b/>
      </w:rPr>
      <w:t>April 15, 2020</w:t>
    </w:r>
    <w:r w:rsidR="007F1D35">
      <w:rPr>
        <w:b/>
      </w:rPr>
      <w:t>:  Summary of Requirements</w:t>
    </w:r>
  </w:p>
  <w:p w:rsidR="007F1D35" w:rsidRDefault="007F1D35" w:rsidP="007F1D35">
    <w:pPr>
      <w:pStyle w:val="Header"/>
      <w:jc w:val="center"/>
      <w:rPr>
        <w:b/>
      </w:rPr>
    </w:pPr>
    <w:r>
      <w:rPr>
        <w:b/>
      </w:rPr>
      <w:t xml:space="preserve">for </w:t>
    </w:r>
    <w:r w:rsidR="007A764A">
      <w:rPr>
        <w:b/>
      </w:rPr>
      <w:t>DoD</w:t>
    </w:r>
    <w:r>
      <w:rPr>
        <w:b/>
      </w:rPr>
      <w:t>-supported Research</w:t>
    </w:r>
  </w:p>
  <w:p w:rsidR="007F1D35" w:rsidRDefault="007F1D35" w:rsidP="007F1D35">
    <w:pPr>
      <w:pStyle w:val="Header"/>
      <w:jc w:val="center"/>
    </w:pPr>
  </w:p>
  <w:p w:rsidR="007F1D35" w:rsidRDefault="007F1D35" w:rsidP="007F1D3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56C66"/>
    <w:multiLevelType w:val="hybridMultilevel"/>
    <w:tmpl w:val="DB4219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0271A"/>
    <w:multiLevelType w:val="hybridMultilevel"/>
    <w:tmpl w:val="CBEEF730"/>
    <w:lvl w:ilvl="0" w:tplc="23E45D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B01F0"/>
    <w:multiLevelType w:val="hybridMultilevel"/>
    <w:tmpl w:val="758A8F42"/>
    <w:lvl w:ilvl="0" w:tplc="AED82E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97CC6"/>
    <w:multiLevelType w:val="hybridMultilevel"/>
    <w:tmpl w:val="2700A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9C"/>
    <w:rsid w:val="00007C2A"/>
    <w:rsid w:val="00072D77"/>
    <w:rsid w:val="000B5DBD"/>
    <w:rsid w:val="000B7FEA"/>
    <w:rsid w:val="000C2AB7"/>
    <w:rsid w:val="000E0C6F"/>
    <w:rsid w:val="000E0DB1"/>
    <w:rsid w:val="00111A1F"/>
    <w:rsid w:val="0011241C"/>
    <w:rsid w:val="00140468"/>
    <w:rsid w:val="001738DF"/>
    <w:rsid w:val="00176B4A"/>
    <w:rsid w:val="00176D90"/>
    <w:rsid w:val="0018366A"/>
    <w:rsid w:val="00190A50"/>
    <w:rsid w:val="00197246"/>
    <w:rsid w:val="001C0652"/>
    <w:rsid w:val="001C1175"/>
    <w:rsid w:val="001C6AF9"/>
    <w:rsid w:val="00265079"/>
    <w:rsid w:val="002A344D"/>
    <w:rsid w:val="002B33FA"/>
    <w:rsid w:val="002D0B12"/>
    <w:rsid w:val="00303C33"/>
    <w:rsid w:val="00313C4A"/>
    <w:rsid w:val="00326EF4"/>
    <w:rsid w:val="003523A7"/>
    <w:rsid w:val="0035740B"/>
    <w:rsid w:val="003727B7"/>
    <w:rsid w:val="003944D2"/>
    <w:rsid w:val="003C3888"/>
    <w:rsid w:val="003F15BA"/>
    <w:rsid w:val="00427A45"/>
    <w:rsid w:val="0044550C"/>
    <w:rsid w:val="00461DFA"/>
    <w:rsid w:val="00467736"/>
    <w:rsid w:val="00476CBE"/>
    <w:rsid w:val="00481E06"/>
    <w:rsid w:val="00491C5D"/>
    <w:rsid w:val="004E2D0C"/>
    <w:rsid w:val="004E56DB"/>
    <w:rsid w:val="004F313B"/>
    <w:rsid w:val="00517E85"/>
    <w:rsid w:val="005332B3"/>
    <w:rsid w:val="00541054"/>
    <w:rsid w:val="0054676A"/>
    <w:rsid w:val="00551C86"/>
    <w:rsid w:val="0055442B"/>
    <w:rsid w:val="00557CA8"/>
    <w:rsid w:val="0056232C"/>
    <w:rsid w:val="005804BC"/>
    <w:rsid w:val="005A22E9"/>
    <w:rsid w:val="005B7518"/>
    <w:rsid w:val="005C3A3F"/>
    <w:rsid w:val="005F1E25"/>
    <w:rsid w:val="00620C92"/>
    <w:rsid w:val="00653519"/>
    <w:rsid w:val="006668A3"/>
    <w:rsid w:val="0067673E"/>
    <w:rsid w:val="00684322"/>
    <w:rsid w:val="006A66AE"/>
    <w:rsid w:val="006F2705"/>
    <w:rsid w:val="006F779F"/>
    <w:rsid w:val="00784041"/>
    <w:rsid w:val="00792EA4"/>
    <w:rsid w:val="007968DC"/>
    <w:rsid w:val="007A1212"/>
    <w:rsid w:val="007A764A"/>
    <w:rsid w:val="007F1D35"/>
    <w:rsid w:val="00823DB3"/>
    <w:rsid w:val="00824BAD"/>
    <w:rsid w:val="00847A63"/>
    <w:rsid w:val="00851042"/>
    <w:rsid w:val="00877D30"/>
    <w:rsid w:val="00884B1C"/>
    <w:rsid w:val="00896257"/>
    <w:rsid w:val="008B4C02"/>
    <w:rsid w:val="008B7E12"/>
    <w:rsid w:val="009254FE"/>
    <w:rsid w:val="00936F0B"/>
    <w:rsid w:val="00946A68"/>
    <w:rsid w:val="00990654"/>
    <w:rsid w:val="009A2703"/>
    <w:rsid w:val="00A0063F"/>
    <w:rsid w:val="00A2510F"/>
    <w:rsid w:val="00A57F36"/>
    <w:rsid w:val="00AA7818"/>
    <w:rsid w:val="00AD2B76"/>
    <w:rsid w:val="00B82C0B"/>
    <w:rsid w:val="00B94182"/>
    <w:rsid w:val="00BC7F5C"/>
    <w:rsid w:val="00C1300B"/>
    <w:rsid w:val="00C5089B"/>
    <w:rsid w:val="00CA4957"/>
    <w:rsid w:val="00CB7098"/>
    <w:rsid w:val="00CC37DD"/>
    <w:rsid w:val="00CE48EB"/>
    <w:rsid w:val="00D106BB"/>
    <w:rsid w:val="00D173AF"/>
    <w:rsid w:val="00D23528"/>
    <w:rsid w:val="00D37443"/>
    <w:rsid w:val="00D8211B"/>
    <w:rsid w:val="00D86AD5"/>
    <w:rsid w:val="00DB48C6"/>
    <w:rsid w:val="00DC6ECC"/>
    <w:rsid w:val="00E057BF"/>
    <w:rsid w:val="00E4489D"/>
    <w:rsid w:val="00E7169C"/>
    <w:rsid w:val="00E9386E"/>
    <w:rsid w:val="00E93B6B"/>
    <w:rsid w:val="00E93F97"/>
    <w:rsid w:val="00EA32CB"/>
    <w:rsid w:val="00EC6BC3"/>
    <w:rsid w:val="00ED5C76"/>
    <w:rsid w:val="00F1002D"/>
    <w:rsid w:val="00F11FC2"/>
    <w:rsid w:val="00F64216"/>
    <w:rsid w:val="00F67A61"/>
    <w:rsid w:val="00FA13CC"/>
    <w:rsid w:val="00FE376A"/>
    <w:rsid w:val="00F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CFB17"/>
  <w15:chartTrackingRefBased/>
  <w15:docId w15:val="{DBC7273F-E09B-483D-BED6-57748B1D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69C"/>
  </w:style>
  <w:style w:type="paragraph" w:styleId="Footer">
    <w:name w:val="footer"/>
    <w:basedOn w:val="Normal"/>
    <w:link w:val="FooterChar"/>
    <w:uiPriority w:val="99"/>
    <w:unhideWhenUsed/>
    <w:rsid w:val="00E71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69C"/>
  </w:style>
  <w:style w:type="table" w:styleId="TableGrid">
    <w:name w:val="Table Grid"/>
    <w:basedOn w:val="TableNormal"/>
    <w:uiPriority w:val="39"/>
    <w:rsid w:val="00F10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5740B"/>
    <w:rPr>
      <w:rFonts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740B"/>
    <w:rPr>
      <w:rFonts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A251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88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3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8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8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8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12454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Kline, Andrea J CIV MEDCOM USAMRMC (US)</dc:creator>
  <cp:keywords/>
  <dc:description/>
  <cp:lastModifiedBy>Kline, Andrea J CIV USARMY HQ USAMRDC (USA)</cp:lastModifiedBy>
  <cp:revision>5</cp:revision>
  <dcterms:created xsi:type="dcterms:W3CDTF">2022-11-07T18:14:00Z</dcterms:created>
  <dcterms:modified xsi:type="dcterms:W3CDTF">2022-11-07T18:27:00Z</dcterms:modified>
</cp:coreProperties>
</file>